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48F035" w14:textId="77777777" w:rsidR="00C46055" w:rsidRDefault="00C46055" w:rsidP="00C46055">
      <w:pPr>
        <w:rPr>
          <w:b/>
          <w:bCs/>
          <w:sz w:val="36"/>
          <w:szCs w:val="36"/>
          <w:u w:val="single"/>
          <w:lang w:val="de-DE"/>
        </w:rPr>
      </w:pPr>
      <w:r>
        <w:rPr>
          <w:b/>
          <w:bCs/>
          <w:sz w:val="36"/>
          <w:szCs w:val="36"/>
          <w:u w:val="single"/>
          <w:lang w:val="de-DE"/>
        </w:rPr>
        <w:t>Spannende und unerwartete Ergebnisse</w:t>
      </w:r>
      <w:r>
        <w:rPr>
          <w:b/>
          <w:bCs/>
          <w:sz w:val="36"/>
          <w:szCs w:val="36"/>
          <w:u w:val="single"/>
          <w:lang w:val="de-DE"/>
        </w:rPr>
        <w:br/>
      </w:r>
      <w:r>
        <w:rPr>
          <w:lang w:val="de-DE"/>
        </w:rPr>
        <w:t>Menschliches Konzentrationsvermögen unter Einfluss verschiedener Geräuschtypen</w:t>
      </w:r>
    </w:p>
    <w:p w14:paraId="2E341EC3" w14:textId="77777777" w:rsidR="00C46055" w:rsidRDefault="00C46055" w:rsidP="00C46055">
      <w:pPr>
        <w:rPr>
          <w:lang w:val="de-DE"/>
        </w:rPr>
      </w:pPr>
    </w:p>
    <w:p w14:paraId="208CDBD5" w14:textId="77777777" w:rsidR="00C46055" w:rsidRDefault="00C46055" w:rsidP="00C46055">
      <w:pPr>
        <w:rPr>
          <w:lang w:val="de-DE"/>
        </w:rPr>
      </w:pPr>
      <w:r>
        <w:rPr>
          <w:lang w:val="de-DE"/>
        </w:rPr>
        <w:t>Willkommen zurück! Dies ist der vierte und damit letzte Blogeintrag der Gruppe 1_Konzentration, bestehend aus Ana-Julia, Farin, Joel und Remo.</w:t>
      </w:r>
    </w:p>
    <w:p w14:paraId="56DA4EAC" w14:textId="331B3D0F" w:rsidR="00C46055" w:rsidRDefault="00C46055" w:rsidP="00C46055">
      <w:pPr>
        <w:rPr>
          <w:lang w:val="de-DE"/>
        </w:rPr>
      </w:pPr>
      <w:r>
        <w:rPr>
          <w:noProof/>
        </w:rPr>
        <mc:AlternateContent>
          <mc:Choice Requires="wps">
            <w:drawing>
              <wp:anchor distT="45720" distB="45720" distL="114300" distR="114300" simplePos="0" relativeHeight="251654656" behindDoc="0" locked="0" layoutInCell="1" allowOverlap="1" wp14:anchorId="72DE7844" wp14:editId="5BB8B56C">
                <wp:simplePos x="0" y="0"/>
                <wp:positionH relativeFrom="column">
                  <wp:posOffset>243205</wp:posOffset>
                </wp:positionH>
                <wp:positionV relativeFrom="paragraph">
                  <wp:posOffset>1087755</wp:posOffset>
                </wp:positionV>
                <wp:extent cx="5242560" cy="647700"/>
                <wp:effectExtent l="0" t="0" r="15240" b="19050"/>
                <wp:wrapSquare wrapText="bothSides"/>
                <wp:docPr id="217" name="Textfeld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2560" cy="647700"/>
                        </a:xfrm>
                        <a:prstGeom prst="rect">
                          <a:avLst/>
                        </a:prstGeom>
                        <a:solidFill>
                          <a:srgbClr val="FFFFFF"/>
                        </a:solidFill>
                        <a:ln w="9525">
                          <a:solidFill>
                            <a:srgbClr val="7030A0"/>
                          </a:solidFill>
                          <a:miter lim="800000"/>
                          <a:headEnd/>
                          <a:tailEnd/>
                        </a:ln>
                      </wps:spPr>
                      <wps:txbx>
                        <w:txbxContent>
                          <w:p w14:paraId="4CC0F004" w14:textId="77777777" w:rsidR="00C46055" w:rsidRDefault="00C46055" w:rsidP="00C46055">
                            <w:pPr>
                              <w:rPr>
                                <w:lang w:val="de-DE"/>
                              </w:rPr>
                            </w:pPr>
                            <w:r>
                              <w:rPr>
                                <w:color w:val="7030A0"/>
                                <w:lang w:val="de-DE"/>
                              </w:rPr>
                              <w:t>Leseempfehlung</w:t>
                            </w:r>
                            <w:r>
                              <w:rPr>
                                <w:lang w:val="de-DE"/>
                              </w:rPr>
                              <w:t xml:space="preserve">: </w:t>
                            </w:r>
                            <w:r>
                              <w:rPr>
                                <w:lang w:val="de-DE"/>
                              </w:rPr>
                              <w:br/>
                              <w:t>Blogbeiträge 1-3 aus der Gruppe – Ausführungen zum Vorgehen und zu den Testreihen.</w:t>
                            </w:r>
                            <w:r>
                              <w:rPr>
                                <w:lang w:val="de-DE"/>
                              </w:rPr>
                              <w:br/>
                              <w:t>(</w:t>
                            </w:r>
                            <w:hyperlink r:id="rId11" w:history="1">
                              <w:r>
                                <w:rPr>
                                  <w:rStyle w:val="Hyperlink"/>
                                  <w:lang w:val="de-DE"/>
                                </w:rPr>
                                <w:t>https://ac4blogs.com/blog-1/</w:t>
                              </w:r>
                            </w:hyperlink>
                            <w:r>
                              <w:rPr>
                                <w:lang w:val="de-DE"/>
                              </w:rPr>
                              <w:t xml:space="preserve">) </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2DE7844" id="_x0000_t202" coordsize="21600,21600" o:spt="202" path="m,l,21600r21600,l21600,xe">
                <v:stroke joinstyle="miter"/>
                <v:path gradientshapeok="t" o:connecttype="rect"/>
              </v:shapetype>
              <v:shape id="Textfeld 6" o:spid="_x0000_s1026" type="#_x0000_t202" style="position:absolute;margin-left:19.15pt;margin-top:85.65pt;width:412.8pt;height:51pt;z-index:25165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sTJgIAAEcEAAAOAAAAZHJzL2Uyb0RvYy54bWysU9uO2yAQfa/Uf0C8N3bcXHatOKs021SV&#10;tt1K2/0AjHGMihkKJHb69R1wkk1T7UtVHhDDDIeZc2YWd32ryF5YJ0EXdDxKKRGaQyX1tqDP3zfv&#10;bihxnumKKdCioAfh6N3y7ZtFZ3KRQQOqEpYgiHZ5ZwraeG/yJHG8ES1zIzBCo7MG2zKPpt0mlWUd&#10;orcqydJ0lnRgK2OBC+fw9n5w0mXEr2vB/WNdO+GJKijm5uNu416GPVkuWL61zDSSH9Ng/5BFy6TG&#10;T89Q98wzsrPyL6hWcgsOaj/i0CZQ15KLWANWM06vqnlqmBGxFiTHmTNN7v/B8q/7J/PNEt9/gB4F&#10;jEU48wD8hyMa1g3TW7GyFrpGsAo/HgfKks64/Pg0UO1yF0DK7gtUKDLbeYhAfW3bwArWSRAdBTic&#10;SRe9Jxwvp9kkm87QxdE3m8znaVQlYfnptbHOfxLQknAoqEVRIzrbPzgfsmH5KSR85kDJaiOViobd&#10;lmtlyZ5hA2ziigVchSlNuoLeTrPpQMCrEPP0fbo6JfjHT6302MlKtgW9ScMaeivQ9lFXsc88k2o4&#10;Y8pKH3kM1A0k+r7sMTDwWUJ1QEYtDB2LE+YfcasVYJ5cSUNJA/bX9V2Iw+ZADyUddnVB3c8ds4IS&#10;9VmjerfjySSMQTQm03mGhr30lJcepjlCFdRTMhzXPo5OIFbDClWuZRTgJeNjTditUZfjZIVxuLRj&#10;1Mv8L38DAAD//wMAUEsDBBQABgAIAAAAIQBaH4xu3QAAAAoBAAAPAAAAZHJzL2Rvd25yZXYueG1s&#10;TI9NTsMwEEb3SNzBGiR21Ekt2jTEqRASAolVmh7AjU0cYY+j2E3C7RlWsJufp2/eVMfVOzabKQ4B&#10;JeSbDJjBLugBewnn9vWhABaTQq1cQCPh20Q41rc3lSp1WLAx8yn1jEIwlkqCTWksOY+dNV7FTRgN&#10;0u4zTF4laqee60ktFO4d32bZjns1IF2wajQv1nRfp6uXwPX84VpXvEfdnh/VmttmeWukvL9bn5+A&#10;JbOmPxh+9UkdanK6hCvqyJwEUQgiab7PqSCg2IkDsIuE7V4I4HXF/79Q/wAAAP//AwBQSwECLQAU&#10;AAYACAAAACEAtoM4kv4AAADhAQAAEwAAAAAAAAAAAAAAAAAAAAAAW0NvbnRlbnRfVHlwZXNdLnht&#10;bFBLAQItABQABgAIAAAAIQA4/SH/1gAAAJQBAAALAAAAAAAAAAAAAAAAAC8BAABfcmVscy8ucmVs&#10;c1BLAQItABQABgAIAAAAIQB+j8sTJgIAAEcEAAAOAAAAAAAAAAAAAAAAAC4CAABkcnMvZTJvRG9j&#10;LnhtbFBLAQItABQABgAIAAAAIQBaH4xu3QAAAAoBAAAPAAAAAAAAAAAAAAAAAIAEAABkcnMvZG93&#10;bnJldi54bWxQSwUGAAAAAAQABADzAAAAigUAAAAA&#10;" strokecolor="#7030a0">
                <v:textbox>
                  <w:txbxContent>
                    <w:p w14:paraId="4CC0F004" w14:textId="77777777" w:rsidR="00C46055" w:rsidRDefault="00C46055" w:rsidP="00C46055">
                      <w:pPr>
                        <w:rPr>
                          <w:lang w:val="de-DE"/>
                        </w:rPr>
                      </w:pPr>
                      <w:r>
                        <w:rPr>
                          <w:color w:val="7030A0"/>
                          <w:lang w:val="de-DE"/>
                        </w:rPr>
                        <w:t>Leseempfehlung</w:t>
                      </w:r>
                      <w:r>
                        <w:rPr>
                          <w:lang w:val="de-DE"/>
                        </w:rPr>
                        <w:t xml:space="preserve">: </w:t>
                      </w:r>
                      <w:r>
                        <w:rPr>
                          <w:lang w:val="de-DE"/>
                        </w:rPr>
                        <w:br/>
                        <w:t>Blogbeiträge 1-3 aus der Gruppe – Ausführungen zum Vorgehen und zu den Testreihen.</w:t>
                      </w:r>
                      <w:r>
                        <w:rPr>
                          <w:lang w:val="de-DE"/>
                        </w:rPr>
                        <w:br/>
                        <w:t>(</w:t>
                      </w:r>
                      <w:hyperlink r:id="rId12" w:history="1">
                        <w:r>
                          <w:rPr>
                            <w:rStyle w:val="Hyperlink"/>
                            <w:lang w:val="de-DE"/>
                          </w:rPr>
                          <w:t>https://ac4blogs.com/blog-1/</w:t>
                        </w:r>
                      </w:hyperlink>
                      <w:r>
                        <w:rPr>
                          <w:lang w:val="de-DE"/>
                        </w:rPr>
                        <w:t xml:space="preserve">) </w:t>
                      </w:r>
                    </w:p>
                  </w:txbxContent>
                </v:textbox>
                <w10:wrap type="square"/>
              </v:shape>
            </w:pict>
          </mc:Fallback>
        </mc:AlternateContent>
      </w:r>
      <w:r>
        <w:rPr>
          <w:lang w:val="de-DE"/>
        </w:rPr>
        <w:t xml:space="preserve">In den letzten Wochen haben wir viel Zeit mit dem Auswerten und Analysieren unserer Daten verbracht, die wir während den Testreihen mit unseren ProbandInnen gesammelt haben. Uns ging es darum, herauszufinden, zu welcher Geräuschkulisse man sich am besten konzentrieren kann. In unserem Fall </w:t>
      </w:r>
      <w:proofErr w:type="spellStart"/>
      <w:r>
        <w:rPr>
          <w:lang w:val="de-DE"/>
        </w:rPr>
        <w:t>hiess</w:t>
      </w:r>
      <w:proofErr w:type="spellEnd"/>
      <w:r>
        <w:rPr>
          <w:lang w:val="de-DE"/>
        </w:rPr>
        <w:t xml:space="preserve"> das: </w:t>
      </w:r>
      <w:r w:rsidR="00C43CD7">
        <w:rPr>
          <w:lang w:val="de-DE"/>
        </w:rPr>
        <w:t>Unter dem Einfluss</w:t>
      </w:r>
      <w:r w:rsidR="001742B4">
        <w:rPr>
          <w:lang w:val="de-DE"/>
        </w:rPr>
        <w:t xml:space="preserve"> w</w:t>
      </w:r>
      <w:r>
        <w:rPr>
          <w:lang w:val="de-DE"/>
        </w:rPr>
        <w:t xml:space="preserve">elcher </w:t>
      </w:r>
      <w:r w:rsidR="001742B4">
        <w:rPr>
          <w:lang w:val="de-DE"/>
        </w:rPr>
        <w:t>Geräuschkulisse</w:t>
      </w:r>
      <w:r>
        <w:rPr>
          <w:lang w:val="de-DE"/>
        </w:rPr>
        <w:t xml:space="preserve"> erzielte man im Konzentrationstest die höchste Erfolgsquote? </w:t>
      </w:r>
    </w:p>
    <w:p w14:paraId="10090397" w14:textId="77777777" w:rsidR="00C46055" w:rsidRDefault="00C46055" w:rsidP="00C46055">
      <w:pPr>
        <w:rPr>
          <w:lang w:val="de-DE"/>
        </w:rPr>
      </w:pPr>
    </w:p>
    <w:p w14:paraId="44DB68EF" w14:textId="7CA3CFE5" w:rsidR="00C46055" w:rsidRDefault="00C46055" w:rsidP="00C46055">
      <w:pPr>
        <w:rPr>
          <w:lang w:val="de-DE"/>
        </w:rPr>
      </w:pPr>
      <w:r>
        <w:rPr>
          <w:lang w:val="de-DE"/>
        </w:rPr>
        <w:t>Alle Daten</w:t>
      </w:r>
      <w:r w:rsidR="00E63600">
        <w:rPr>
          <w:lang w:val="de-DE"/>
        </w:rPr>
        <w:t>, die wir im Verlauf der Testreihen gesammelt haben,</w:t>
      </w:r>
      <w:r>
        <w:rPr>
          <w:lang w:val="de-DE"/>
        </w:rPr>
        <w:t xml:space="preserve"> haben wir in ein dafür erstelltes Excel-File eingetragen. Danach haben wir von jeder Testreihe den Durchschnitt </w:t>
      </w:r>
      <w:r w:rsidR="00A36257">
        <w:rPr>
          <w:lang w:val="de-DE"/>
        </w:rPr>
        <w:t>aller</w:t>
      </w:r>
      <w:r w:rsidR="00A36D82">
        <w:rPr>
          <w:lang w:val="de-DE"/>
        </w:rPr>
        <w:t xml:space="preserve"> Erfolgsquote</w:t>
      </w:r>
      <w:r w:rsidR="00A36257">
        <w:rPr>
          <w:lang w:val="de-DE"/>
        </w:rPr>
        <w:t>n</w:t>
      </w:r>
      <w:r w:rsidR="00A36D82">
        <w:rPr>
          <w:lang w:val="de-DE"/>
        </w:rPr>
        <w:t xml:space="preserve"> </w:t>
      </w:r>
      <w:r>
        <w:rPr>
          <w:lang w:val="de-DE"/>
        </w:rPr>
        <w:t xml:space="preserve">ausgerechnet. </w:t>
      </w:r>
      <w:r w:rsidR="00AB44D2">
        <w:rPr>
          <w:lang w:val="de-DE"/>
        </w:rPr>
        <w:t xml:space="preserve">Auch wenn nicht in jeder Testreihe </w:t>
      </w:r>
      <w:r w:rsidR="00AA3F5B">
        <w:rPr>
          <w:lang w:val="de-DE"/>
        </w:rPr>
        <w:t>gleich</w:t>
      </w:r>
      <w:r w:rsidR="00AB44D2">
        <w:rPr>
          <w:lang w:val="de-DE"/>
        </w:rPr>
        <w:t xml:space="preserve"> viel Personen teilgenommen haben, zum Beispiel aufgrund einer</w:t>
      </w:r>
      <w:r w:rsidR="002E10BE">
        <w:rPr>
          <w:lang w:val="de-DE"/>
        </w:rPr>
        <w:t xml:space="preserve"> Krankheit, so war das für unsere Zwecke das beste Vorgehen. </w:t>
      </w:r>
      <w:r>
        <w:rPr>
          <w:lang w:val="de-DE"/>
        </w:rPr>
        <w:t>Der Vorteil dieses Vorgehens liegt darin, dass man auf diese Weise die vier Tests am aussagekräftigsten miteinander vergleichen kann, da alle Werte auf den Mittelwert reduziert wurden. Ein schöner Nebeneffekt ist auch, dass man mit einer übersichtlicheren Datenmenge arbeiten k</w:t>
      </w:r>
      <w:r w:rsidR="00B278CD">
        <w:rPr>
          <w:lang w:val="de-DE"/>
        </w:rPr>
        <w:t>ann.</w:t>
      </w:r>
    </w:p>
    <w:p w14:paraId="26F888E7" w14:textId="43B46951" w:rsidR="00B278CD" w:rsidRDefault="00B278CD" w:rsidP="00B278CD">
      <w:pPr>
        <w:pStyle w:val="Beschriftung"/>
        <w:rPr>
          <w:lang w:val="de-DE"/>
        </w:rPr>
      </w:pPr>
      <w:r>
        <w:t xml:space="preserve">Tabelle </w:t>
      </w:r>
      <w:fldSimple w:instr=" SEQ Tabelle \* ARABIC ">
        <w:r>
          <w:rPr>
            <w:noProof/>
          </w:rPr>
          <w:t>1</w:t>
        </w:r>
      </w:fldSimple>
      <w:r>
        <w:t>: In der Tabelle sind von allen Testreihen jeweils die Mittelwerte dargestellt.</w:t>
      </w:r>
    </w:p>
    <w:tbl>
      <w:tblPr>
        <w:tblStyle w:val="Tabellenraster"/>
        <w:tblW w:w="0" w:type="auto"/>
        <w:tblInd w:w="-5" w:type="dxa"/>
        <w:tblLook w:val="04A0" w:firstRow="1" w:lastRow="0" w:firstColumn="1" w:lastColumn="0" w:noHBand="0" w:noVBand="1"/>
      </w:tblPr>
      <w:tblGrid>
        <w:gridCol w:w="1413"/>
        <w:gridCol w:w="3117"/>
        <w:gridCol w:w="994"/>
        <w:gridCol w:w="2840"/>
      </w:tblGrid>
      <w:tr w:rsidR="00C46055" w14:paraId="3B4E61B1" w14:textId="77777777" w:rsidTr="00327DBD">
        <w:tc>
          <w:tcPr>
            <w:tcW w:w="1413" w:type="dxa"/>
            <w:tcBorders>
              <w:top w:val="single" w:sz="4" w:space="0" w:color="auto"/>
              <w:left w:val="single" w:sz="4" w:space="0" w:color="auto"/>
              <w:bottom w:val="single" w:sz="4" w:space="0" w:color="auto"/>
              <w:right w:val="single" w:sz="4" w:space="0" w:color="auto"/>
            </w:tcBorders>
            <w:hideMark/>
          </w:tcPr>
          <w:p w14:paraId="305571B1" w14:textId="77777777" w:rsidR="00C46055" w:rsidRDefault="00C46055">
            <w:pPr>
              <w:spacing w:line="240" w:lineRule="auto"/>
              <w:rPr>
                <w:lang w:val="de-DE"/>
              </w:rPr>
            </w:pPr>
            <w:r>
              <w:rPr>
                <w:lang w:val="de-DE"/>
              </w:rPr>
              <w:t>Sessions-Nr.</w:t>
            </w:r>
          </w:p>
        </w:tc>
        <w:tc>
          <w:tcPr>
            <w:tcW w:w="3117" w:type="dxa"/>
            <w:tcBorders>
              <w:top w:val="single" w:sz="4" w:space="0" w:color="auto"/>
              <w:left w:val="single" w:sz="4" w:space="0" w:color="auto"/>
              <w:bottom w:val="single" w:sz="4" w:space="0" w:color="auto"/>
              <w:right w:val="single" w:sz="4" w:space="0" w:color="auto"/>
            </w:tcBorders>
            <w:hideMark/>
          </w:tcPr>
          <w:p w14:paraId="58F7571C" w14:textId="77777777" w:rsidR="00C46055" w:rsidRDefault="00C46055">
            <w:pPr>
              <w:spacing w:line="240" w:lineRule="auto"/>
              <w:rPr>
                <w:lang w:val="de-DE"/>
              </w:rPr>
            </w:pPr>
            <w:r>
              <w:rPr>
                <w:lang w:val="de-DE"/>
              </w:rPr>
              <w:t>Geräusche</w:t>
            </w:r>
          </w:p>
        </w:tc>
        <w:tc>
          <w:tcPr>
            <w:tcW w:w="994" w:type="dxa"/>
            <w:tcBorders>
              <w:top w:val="single" w:sz="4" w:space="0" w:color="auto"/>
              <w:left w:val="single" w:sz="4" w:space="0" w:color="auto"/>
              <w:bottom w:val="single" w:sz="4" w:space="0" w:color="auto"/>
              <w:right w:val="single" w:sz="4" w:space="0" w:color="auto"/>
            </w:tcBorders>
            <w:hideMark/>
          </w:tcPr>
          <w:p w14:paraId="23D5B5C6" w14:textId="77777777" w:rsidR="00C46055" w:rsidRDefault="00C46055">
            <w:pPr>
              <w:spacing w:line="240" w:lineRule="auto"/>
              <w:rPr>
                <w:lang w:val="de-DE"/>
              </w:rPr>
            </w:pPr>
            <w:r>
              <w:rPr>
                <w:lang w:val="de-DE"/>
              </w:rPr>
              <w:t>Test</w:t>
            </w:r>
          </w:p>
        </w:tc>
        <w:tc>
          <w:tcPr>
            <w:tcW w:w="2840" w:type="dxa"/>
            <w:tcBorders>
              <w:top w:val="single" w:sz="4" w:space="0" w:color="auto"/>
              <w:left w:val="single" w:sz="4" w:space="0" w:color="auto"/>
              <w:bottom w:val="single" w:sz="4" w:space="0" w:color="auto"/>
              <w:right w:val="single" w:sz="4" w:space="0" w:color="auto"/>
            </w:tcBorders>
            <w:hideMark/>
          </w:tcPr>
          <w:p w14:paraId="58AB3649" w14:textId="2ED38515" w:rsidR="00C46055" w:rsidRDefault="00C46055">
            <w:pPr>
              <w:spacing w:line="240" w:lineRule="auto"/>
              <w:rPr>
                <w:lang w:val="de-DE"/>
              </w:rPr>
            </w:pPr>
            <w:r>
              <w:rPr>
                <w:lang w:val="de-DE"/>
              </w:rPr>
              <w:t>Erfolgsquote (</w:t>
            </w:r>
            <w:r>
              <w:rPr>
                <w:rFonts w:cstheme="minorHAnsi"/>
                <w:lang w:val="de-DE"/>
              </w:rPr>
              <w:t>Ø</w:t>
            </w:r>
            <w:r>
              <w:rPr>
                <w:lang w:val="de-DE"/>
              </w:rPr>
              <w:t xml:space="preserve"> alle</w:t>
            </w:r>
            <w:r w:rsidR="000004B5">
              <w:rPr>
                <w:lang w:val="de-DE"/>
              </w:rPr>
              <w:t>)</w:t>
            </w:r>
          </w:p>
        </w:tc>
      </w:tr>
      <w:tr w:rsidR="00C46055" w14:paraId="7890DFA6" w14:textId="77777777" w:rsidTr="00327DBD">
        <w:tc>
          <w:tcPr>
            <w:tcW w:w="1413" w:type="dxa"/>
            <w:tcBorders>
              <w:top w:val="single" w:sz="4" w:space="0" w:color="auto"/>
              <w:left w:val="single" w:sz="4" w:space="0" w:color="auto"/>
              <w:bottom w:val="single" w:sz="4" w:space="0" w:color="auto"/>
              <w:right w:val="single" w:sz="4" w:space="0" w:color="auto"/>
            </w:tcBorders>
            <w:hideMark/>
          </w:tcPr>
          <w:p w14:paraId="49068E9A" w14:textId="77777777" w:rsidR="00C46055" w:rsidRDefault="00C46055">
            <w:pPr>
              <w:spacing w:line="240" w:lineRule="auto"/>
              <w:rPr>
                <w:lang w:val="de-DE"/>
              </w:rPr>
            </w:pPr>
            <w:r>
              <w:rPr>
                <w:lang w:val="de-DE"/>
              </w:rPr>
              <w:t>01</w:t>
            </w:r>
          </w:p>
        </w:tc>
        <w:tc>
          <w:tcPr>
            <w:tcW w:w="3117" w:type="dxa"/>
            <w:tcBorders>
              <w:top w:val="single" w:sz="4" w:space="0" w:color="auto"/>
              <w:left w:val="single" w:sz="4" w:space="0" w:color="auto"/>
              <w:bottom w:val="single" w:sz="4" w:space="0" w:color="auto"/>
              <w:right w:val="single" w:sz="4" w:space="0" w:color="auto"/>
            </w:tcBorders>
            <w:hideMark/>
          </w:tcPr>
          <w:p w14:paraId="1B9998D7" w14:textId="77777777" w:rsidR="00C46055" w:rsidRDefault="00C46055">
            <w:pPr>
              <w:spacing w:line="240" w:lineRule="auto"/>
              <w:rPr>
                <w:lang w:val="de-DE"/>
              </w:rPr>
            </w:pPr>
            <w:r>
              <w:rPr>
                <w:lang w:val="de-DE"/>
              </w:rPr>
              <w:t>Stille</w:t>
            </w:r>
          </w:p>
        </w:tc>
        <w:tc>
          <w:tcPr>
            <w:tcW w:w="994" w:type="dxa"/>
            <w:tcBorders>
              <w:top w:val="single" w:sz="4" w:space="0" w:color="auto"/>
              <w:left w:val="single" w:sz="4" w:space="0" w:color="auto"/>
              <w:bottom w:val="single" w:sz="4" w:space="0" w:color="auto"/>
              <w:right w:val="single" w:sz="4" w:space="0" w:color="auto"/>
            </w:tcBorders>
            <w:hideMark/>
          </w:tcPr>
          <w:p w14:paraId="6E894359" w14:textId="77777777" w:rsidR="00C46055" w:rsidRDefault="00C46055">
            <w:pPr>
              <w:spacing w:line="240" w:lineRule="auto"/>
              <w:rPr>
                <w:lang w:val="de-DE"/>
              </w:rPr>
            </w:pPr>
            <w:proofErr w:type="spellStart"/>
            <w:r>
              <w:rPr>
                <w:lang w:val="de-DE"/>
              </w:rPr>
              <w:t>Pabda</w:t>
            </w:r>
            <w:proofErr w:type="spellEnd"/>
          </w:p>
        </w:tc>
        <w:tc>
          <w:tcPr>
            <w:tcW w:w="2840" w:type="dxa"/>
            <w:tcBorders>
              <w:top w:val="single" w:sz="4" w:space="0" w:color="auto"/>
              <w:left w:val="single" w:sz="4" w:space="0" w:color="auto"/>
              <w:bottom w:val="single" w:sz="4" w:space="0" w:color="auto"/>
              <w:right w:val="single" w:sz="4" w:space="0" w:color="auto"/>
            </w:tcBorders>
            <w:shd w:val="clear" w:color="auto" w:fill="FFE599" w:themeFill="accent4" w:themeFillTint="66"/>
            <w:hideMark/>
          </w:tcPr>
          <w:p w14:paraId="22E9A5F8" w14:textId="77777777" w:rsidR="00C46055" w:rsidRDefault="00C46055">
            <w:pPr>
              <w:spacing w:line="240" w:lineRule="auto"/>
              <w:rPr>
                <w:lang w:val="de-DE"/>
              </w:rPr>
            </w:pPr>
            <w:r>
              <w:rPr>
                <w:lang w:val="de-DE"/>
              </w:rPr>
              <w:t>54.39 %</w:t>
            </w:r>
          </w:p>
        </w:tc>
      </w:tr>
      <w:tr w:rsidR="00C46055" w14:paraId="4E06A13E" w14:textId="77777777" w:rsidTr="00327DBD">
        <w:tc>
          <w:tcPr>
            <w:tcW w:w="1413" w:type="dxa"/>
            <w:tcBorders>
              <w:top w:val="single" w:sz="4" w:space="0" w:color="auto"/>
              <w:left w:val="single" w:sz="4" w:space="0" w:color="auto"/>
              <w:bottom w:val="single" w:sz="4" w:space="0" w:color="auto"/>
              <w:right w:val="single" w:sz="4" w:space="0" w:color="auto"/>
            </w:tcBorders>
            <w:hideMark/>
          </w:tcPr>
          <w:p w14:paraId="68E0EB39" w14:textId="77777777" w:rsidR="00C46055" w:rsidRDefault="00C46055">
            <w:pPr>
              <w:spacing w:line="240" w:lineRule="auto"/>
              <w:rPr>
                <w:lang w:val="de-DE"/>
              </w:rPr>
            </w:pPr>
            <w:r>
              <w:rPr>
                <w:lang w:val="de-DE"/>
              </w:rPr>
              <w:t>02</w:t>
            </w:r>
          </w:p>
        </w:tc>
        <w:tc>
          <w:tcPr>
            <w:tcW w:w="3117" w:type="dxa"/>
            <w:tcBorders>
              <w:top w:val="single" w:sz="4" w:space="0" w:color="auto"/>
              <w:left w:val="single" w:sz="4" w:space="0" w:color="auto"/>
              <w:bottom w:val="single" w:sz="4" w:space="0" w:color="auto"/>
              <w:right w:val="single" w:sz="4" w:space="0" w:color="auto"/>
            </w:tcBorders>
            <w:hideMark/>
          </w:tcPr>
          <w:p w14:paraId="17ACD6BB" w14:textId="77777777" w:rsidR="00C46055" w:rsidRDefault="00C46055">
            <w:pPr>
              <w:spacing w:line="240" w:lineRule="auto"/>
              <w:rPr>
                <w:lang w:val="de-DE"/>
              </w:rPr>
            </w:pPr>
            <w:r>
              <w:rPr>
                <w:lang w:val="de-DE"/>
              </w:rPr>
              <w:t>Ruhige Geräusche</w:t>
            </w:r>
          </w:p>
        </w:tc>
        <w:tc>
          <w:tcPr>
            <w:tcW w:w="994" w:type="dxa"/>
            <w:tcBorders>
              <w:top w:val="single" w:sz="4" w:space="0" w:color="auto"/>
              <w:left w:val="single" w:sz="4" w:space="0" w:color="auto"/>
              <w:bottom w:val="single" w:sz="4" w:space="0" w:color="auto"/>
              <w:right w:val="single" w:sz="4" w:space="0" w:color="auto"/>
            </w:tcBorders>
            <w:hideMark/>
          </w:tcPr>
          <w:p w14:paraId="5CB6826C" w14:textId="77777777" w:rsidR="00C46055" w:rsidRDefault="00C46055">
            <w:pPr>
              <w:spacing w:line="240" w:lineRule="auto"/>
              <w:rPr>
                <w:lang w:val="de-DE"/>
              </w:rPr>
            </w:pPr>
            <w:proofErr w:type="spellStart"/>
            <w:r>
              <w:rPr>
                <w:lang w:val="de-DE"/>
              </w:rPr>
              <w:t>Nanma</w:t>
            </w:r>
            <w:proofErr w:type="spellEnd"/>
          </w:p>
        </w:tc>
        <w:tc>
          <w:tcPr>
            <w:tcW w:w="2840" w:type="dxa"/>
            <w:tcBorders>
              <w:top w:val="single" w:sz="4" w:space="0" w:color="auto"/>
              <w:left w:val="single" w:sz="4" w:space="0" w:color="auto"/>
              <w:bottom w:val="single" w:sz="4" w:space="0" w:color="auto"/>
              <w:right w:val="single" w:sz="4" w:space="0" w:color="auto"/>
            </w:tcBorders>
            <w:shd w:val="clear" w:color="auto" w:fill="92D050"/>
            <w:hideMark/>
          </w:tcPr>
          <w:p w14:paraId="60B655CE" w14:textId="77777777" w:rsidR="00C46055" w:rsidRDefault="00C46055">
            <w:pPr>
              <w:spacing w:line="240" w:lineRule="auto"/>
              <w:rPr>
                <w:lang w:val="de-DE"/>
              </w:rPr>
            </w:pPr>
            <w:r>
              <w:rPr>
                <w:lang w:val="de-DE"/>
              </w:rPr>
              <w:t>79.54 %</w:t>
            </w:r>
          </w:p>
        </w:tc>
      </w:tr>
      <w:tr w:rsidR="00C46055" w14:paraId="3FCE9680" w14:textId="77777777" w:rsidTr="00327DBD">
        <w:tc>
          <w:tcPr>
            <w:tcW w:w="1413" w:type="dxa"/>
            <w:tcBorders>
              <w:top w:val="single" w:sz="4" w:space="0" w:color="auto"/>
              <w:left w:val="single" w:sz="4" w:space="0" w:color="auto"/>
              <w:bottom w:val="single" w:sz="4" w:space="0" w:color="auto"/>
              <w:right w:val="single" w:sz="4" w:space="0" w:color="auto"/>
            </w:tcBorders>
            <w:hideMark/>
          </w:tcPr>
          <w:p w14:paraId="6F64A674" w14:textId="77777777" w:rsidR="00C46055" w:rsidRDefault="00C46055">
            <w:pPr>
              <w:spacing w:line="240" w:lineRule="auto"/>
              <w:rPr>
                <w:lang w:val="de-DE"/>
              </w:rPr>
            </w:pPr>
            <w:r>
              <w:rPr>
                <w:lang w:val="de-DE"/>
              </w:rPr>
              <w:t>03</w:t>
            </w:r>
          </w:p>
        </w:tc>
        <w:tc>
          <w:tcPr>
            <w:tcW w:w="3117" w:type="dxa"/>
            <w:tcBorders>
              <w:top w:val="single" w:sz="4" w:space="0" w:color="auto"/>
              <w:left w:val="single" w:sz="4" w:space="0" w:color="auto"/>
              <w:bottom w:val="single" w:sz="4" w:space="0" w:color="auto"/>
              <w:right w:val="single" w:sz="4" w:space="0" w:color="auto"/>
            </w:tcBorders>
            <w:hideMark/>
          </w:tcPr>
          <w:p w14:paraId="0352B5AB" w14:textId="77777777" w:rsidR="00C46055" w:rsidRDefault="00C46055">
            <w:pPr>
              <w:spacing w:line="240" w:lineRule="auto"/>
              <w:rPr>
                <w:lang w:val="de-DE"/>
              </w:rPr>
            </w:pPr>
            <w:r>
              <w:rPr>
                <w:lang w:val="de-DE"/>
              </w:rPr>
              <w:t>Laute Geräusche</w:t>
            </w:r>
          </w:p>
        </w:tc>
        <w:tc>
          <w:tcPr>
            <w:tcW w:w="994" w:type="dxa"/>
            <w:tcBorders>
              <w:top w:val="single" w:sz="4" w:space="0" w:color="auto"/>
              <w:left w:val="single" w:sz="4" w:space="0" w:color="auto"/>
              <w:bottom w:val="single" w:sz="4" w:space="0" w:color="auto"/>
              <w:right w:val="single" w:sz="4" w:space="0" w:color="auto"/>
            </w:tcBorders>
            <w:hideMark/>
          </w:tcPr>
          <w:p w14:paraId="1710089C" w14:textId="77777777" w:rsidR="00C46055" w:rsidRDefault="00C46055">
            <w:pPr>
              <w:spacing w:line="240" w:lineRule="auto"/>
              <w:rPr>
                <w:lang w:val="de-DE"/>
              </w:rPr>
            </w:pPr>
            <w:proofErr w:type="spellStart"/>
            <w:r>
              <w:rPr>
                <w:lang w:val="de-DE"/>
              </w:rPr>
              <w:t>Ilji</w:t>
            </w:r>
            <w:proofErr w:type="spellEnd"/>
          </w:p>
        </w:tc>
        <w:tc>
          <w:tcPr>
            <w:tcW w:w="2840" w:type="dxa"/>
            <w:tcBorders>
              <w:top w:val="single" w:sz="4" w:space="0" w:color="auto"/>
              <w:left w:val="single" w:sz="4" w:space="0" w:color="auto"/>
              <w:bottom w:val="single" w:sz="4" w:space="0" w:color="auto"/>
              <w:right w:val="single" w:sz="4" w:space="0" w:color="auto"/>
            </w:tcBorders>
            <w:shd w:val="clear" w:color="auto" w:fill="70AD47" w:themeFill="accent6"/>
            <w:hideMark/>
          </w:tcPr>
          <w:p w14:paraId="5D2717F2" w14:textId="77777777" w:rsidR="00C46055" w:rsidRDefault="00C46055">
            <w:pPr>
              <w:spacing w:line="240" w:lineRule="auto"/>
              <w:rPr>
                <w:lang w:val="de-DE"/>
              </w:rPr>
            </w:pPr>
            <w:r>
              <w:rPr>
                <w:lang w:val="de-DE"/>
              </w:rPr>
              <w:t>89.65 %</w:t>
            </w:r>
          </w:p>
        </w:tc>
      </w:tr>
      <w:tr w:rsidR="00C46055" w14:paraId="47801152" w14:textId="77777777" w:rsidTr="00327DBD">
        <w:tc>
          <w:tcPr>
            <w:tcW w:w="1413" w:type="dxa"/>
            <w:tcBorders>
              <w:top w:val="single" w:sz="4" w:space="0" w:color="auto"/>
              <w:left w:val="single" w:sz="4" w:space="0" w:color="auto"/>
              <w:bottom w:val="single" w:sz="4" w:space="0" w:color="auto"/>
              <w:right w:val="single" w:sz="4" w:space="0" w:color="auto"/>
            </w:tcBorders>
            <w:hideMark/>
          </w:tcPr>
          <w:p w14:paraId="73708271" w14:textId="77777777" w:rsidR="00C46055" w:rsidRDefault="00C46055">
            <w:pPr>
              <w:spacing w:line="240" w:lineRule="auto"/>
              <w:rPr>
                <w:lang w:val="de-DE"/>
              </w:rPr>
            </w:pPr>
            <w:r>
              <w:rPr>
                <w:lang w:val="de-DE"/>
              </w:rPr>
              <w:t>04</w:t>
            </w:r>
          </w:p>
        </w:tc>
        <w:tc>
          <w:tcPr>
            <w:tcW w:w="3117" w:type="dxa"/>
            <w:tcBorders>
              <w:top w:val="single" w:sz="4" w:space="0" w:color="auto"/>
              <w:left w:val="single" w:sz="4" w:space="0" w:color="auto"/>
              <w:bottom w:val="single" w:sz="4" w:space="0" w:color="auto"/>
              <w:right w:val="single" w:sz="4" w:space="0" w:color="auto"/>
            </w:tcBorders>
            <w:hideMark/>
          </w:tcPr>
          <w:p w14:paraId="3E491001" w14:textId="77777777" w:rsidR="00C46055" w:rsidRDefault="00C46055">
            <w:pPr>
              <w:spacing w:line="240" w:lineRule="auto"/>
              <w:rPr>
                <w:lang w:val="de-DE"/>
              </w:rPr>
            </w:pPr>
            <w:r>
              <w:rPr>
                <w:lang w:val="de-DE"/>
              </w:rPr>
              <w:t>Nervige, aufbauende Geräusche</w:t>
            </w:r>
          </w:p>
        </w:tc>
        <w:tc>
          <w:tcPr>
            <w:tcW w:w="994" w:type="dxa"/>
            <w:tcBorders>
              <w:top w:val="single" w:sz="4" w:space="0" w:color="auto"/>
              <w:left w:val="single" w:sz="4" w:space="0" w:color="auto"/>
              <w:bottom w:val="single" w:sz="4" w:space="0" w:color="auto"/>
              <w:right w:val="single" w:sz="4" w:space="0" w:color="auto"/>
            </w:tcBorders>
            <w:hideMark/>
          </w:tcPr>
          <w:p w14:paraId="13F7C005" w14:textId="77777777" w:rsidR="00C46055" w:rsidRDefault="00C46055">
            <w:pPr>
              <w:spacing w:line="240" w:lineRule="auto"/>
              <w:rPr>
                <w:lang w:val="de-DE"/>
              </w:rPr>
            </w:pPr>
            <w:proofErr w:type="spellStart"/>
            <w:r>
              <w:rPr>
                <w:lang w:val="de-DE"/>
              </w:rPr>
              <w:t>Zskrsc</w:t>
            </w:r>
            <w:proofErr w:type="spellEnd"/>
          </w:p>
        </w:tc>
        <w:tc>
          <w:tcPr>
            <w:tcW w:w="2840" w:type="dxa"/>
            <w:tcBorders>
              <w:top w:val="single" w:sz="4" w:space="0" w:color="auto"/>
              <w:left w:val="single" w:sz="4" w:space="0" w:color="auto"/>
              <w:bottom w:val="single" w:sz="4" w:space="0" w:color="auto"/>
              <w:right w:val="single" w:sz="4" w:space="0" w:color="auto"/>
            </w:tcBorders>
            <w:shd w:val="clear" w:color="auto" w:fill="FFC000"/>
            <w:hideMark/>
          </w:tcPr>
          <w:p w14:paraId="228E4880" w14:textId="77777777" w:rsidR="00C46055" w:rsidRDefault="00C46055">
            <w:pPr>
              <w:spacing w:line="240" w:lineRule="auto"/>
              <w:rPr>
                <w:lang w:val="de-DE"/>
              </w:rPr>
            </w:pPr>
            <w:r>
              <w:rPr>
                <w:lang w:val="de-DE"/>
              </w:rPr>
              <w:t>46.21 %</w:t>
            </w:r>
          </w:p>
        </w:tc>
      </w:tr>
    </w:tbl>
    <w:p w14:paraId="172540D2" w14:textId="77777777" w:rsidR="00C46055" w:rsidRDefault="00C46055" w:rsidP="00C46055">
      <w:pPr>
        <w:rPr>
          <w:lang w:val="de-DE"/>
        </w:rPr>
      </w:pPr>
    </w:p>
    <w:p w14:paraId="0B347D74" w14:textId="77777777" w:rsidR="00C46055" w:rsidRDefault="00C46055" w:rsidP="00C46055">
      <w:pPr>
        <w:rPr>
          <w:lang w:val="de-DE"/>
        </w:rPr>
      </w:pPr>
      <w:r>
        <w:rPr>
          <w:lang w:val="de-DE"/>
        </w:rPr>
        <w:t>Was uns sofort ins Auge fiel, ist die erstaunlich hohe Erfolgsquote bei den lauten Geräuschen. Mit 89.65 % liegt dieser Wert etwa 30 % höher, als wir ihn erwartet hätten. Die Gründe, weshalb die ProbandInnen gerade in diesem Test derart gut abgeschnitten haben, sind unterschiedlich, jedoch folgerten wir aus dem Ergebnis folgende drei Vermutungen:</w:t>
      </w:r>
    </w:p>
    <w:p w14:paraId="77BD715A" w14:textId="369FE3B6" w:rsidR="00C46055" w:rsidRDefault="00C46055" w:rsidP="00AA3F5B">
      <w:pPr>
        <w:pStyle w:val="Listenabsatz"/>
        <w:numPr>
          <w:ilvl w:val="0"/>
          <w:numId w:val="1"/>
        </w:numPr>
        <w:ind w:left="426"/>
        <w:rPr>
          <w:lang w:val="de-DE"/>
        </w:rPr>
      </w:pPr>
      <w:r>
        <w:rPr>
          <w:noProof/>
        </w:rPr>
        <w:drawing>
          <wp:anchor distT="0" distB="0" distL="114300" distR="114300" simplePos="0" relativeHeight="251655680" behindDoc="0" locked="0" layoutInCell="1" allowOverlap="1" wp14:anchorId="5814DFA7" wp14:editId="33D4E754">
            <wp:simplePos x="0" y="0"/>
            <wp:positionH relativeFrom="column">
              <wp:posOffset>3352165</wp:posOffset>
            </wp:positionH>
            <wp:positionV relativeFrom="paragraph">
              <wp:posOffset>35560</wp:posOffset>
            </wp:positionV>
            <wp:extent cx="2247265" cy="1600200"/>
            <wp:effectExtent l="0" t="0" r="635" b="0"/>
            <wp:wrapThrough wrapText="bothSides">
              <wp:wrapPolygon edited="0">
                <wp:start x="0" y="0"/>
                <wp:lineTo x="0" y="21343"/>
                <wp:lineTo x="21423" y="21343"/>
                <wp:lineTo x="21423" y="0"/>
                <wp:lineTo x="0" y="0"/>
              </wp:wrapPolygon>
            </wp:wrapThrough>
            <wp:docPr id="1077902577" name="Grafik 5" descr="Ein Bild, das Text, Screenshot, Diagramm,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96465944" descr="Ein Bild, das Text, Screenshot, Diagramm, Schrift enthält.&#10;&#10;Automatisch generierte Beschreibung"/>
                    <pic:cNvPicPr>
                      <a:picLocks noChangeAspect="1" noChangeArrowheads="1"/>
                    </pic:cNvPicPr>
                  </pic:nvPicPr>
                  <pic:blipFill>
                    <a:blip r:embed="rId13" cstate="print">
                      <a:extLst>
                        <a:ext uri="{28A0092B-C50C-407E-A947-70E740481C1C}">
                          <a14:useLocalDpi xmlns:a14="http://schemas.microsoft.com/office/drawing/2010/main" val="0"/>
                        </a:ext>
                      </a:extLst>
                    </a:blip>
                    <a:srcRect l="3923" r="41872"/>
                    <a:stretch>
                      <a:fillRect/>
                    </a:stretch>
                  </pic:blipFill>
                  <pic:spPr bwMode="auto">
                    <a:xfrm>
                      <a:off x="0" y="0"/>
                      <a:ext cx="2247265" cy="1600200"/>
                    </a:xfrm>
                    <a:prstGeom prst="rect">
                      <a:avLst/>
                    </a:prstGeom>
                    <a:noFill/>
                  </pic:spPr>
                </pic:pic>
              </a:graphicData>
            </a:graphic>
            <wp14:sizeRelH relativeFrom="margin">
              <wp14:pctWidth>0</wp14:pctWidth>
            </wp14:sizeRelH>
            <wp14:sizeRelV relativeFrom="margin">
              <wp14:pctHeight>0</wp14:pctHeight>
            </wp14:sizeRelV>
          </wp:anchor>
        </w:drawing>
      </w:r>
      <w:r>
        <w:rPr>
          <w:lang w:val="de-DE"/>
        </w:rPr>
        <w:t xml:space="preserve">Der ILJI-Test war zu einfach. Das wurde uns auch durch die Umfrage bestätigt, welche wir bei unseren ProbandInnen durchgeführt haben (Abb. 1). </w:t>
      </w:r>
    </w:p>
    <w:p w14:paraId="39B27BF6" w14:textId="7F490FB2" w:rsidR="00C46055" w:rsidRDefault="00AA3F5B" w:rsidP="00AA3F5B">
      <w:pPr>
        <w:pStyle w:val="Listenabsatz"/>
        <w:numPr>
          <w:ilvl w:val="0"/>
          <w:numId w:val="1"/>
        </w:numPr>
        <w:ind w:left="426"/>
        <w:rPr>
          <w:lang w:val="de-DE"/>
        </w:rPr>
      </w:pPr>
      <w:r>
        <w:rPr>
          <w:noProof/>
        </w:rPr>
        <mc:AlternateContent>
          <mc:Choice Requires="wps">
            <w:drawing>
              <wp:anchor distT="0" distB="0" distL="114300" distR="114300" simplePos="0" relativeHeight="251656704" behindDoc="0" locked="0" layoutInCell="1" allowOverlap="1" wp14:anchorId="09BB5D4E" wp14:editId="6C4D4BD6">
                <wp:simplePos x="0" y="0"/>
                <wp:positionH relativeFrom="column">
                  <wp:posOffset>3420745</wp:posOffset>
                </wp:positionH>
                <wp:positionV relativeFrom="paragraph">
                  <wp:posOffset>929640</wp:posOffset>
                </wp:positionV>
                <wp:extent cx="2430780" cy="532765"/>
                <wp:effectExtent l="0" t="0" r="7620" b="635"/>
                <wp:wrapThrough wrapText="bothSides">
                  <wp:wrapPolygon edited="0">
                    <wp:start x="0" y="0"/>
                    <wp:lineTo x="0" y="20853"/>
                    <wp:lineTo x="21498" y="20853"/>
                    <wp:lineTo x="21498" y="0"/>
                    <wp:lineTo x="0" y="0"/>
                  </wp:wrapPolygon>
                </wp:wrapThrough>
                <wp:docPr id="1519666914" name="Textfeld 4"/>
                <wp:cNvGraphicFramePr/>
                <a:graphic xmlns:a="http://schemas.openxmlformats.org/drawingml/2006/main">
                  <a:graphicData uri="http://schemas.microsoft.com/office/word/2010/wordprocessingShape">
                    <wps:wsp>
                      <wps:cNvSpPr txBox="1"/>
                      <wps:spPr>
                        <a:xfrm>
                          <a:off x="0" y="0"/>
                          <a:ext cx="2430780" cy="532765"/>
                        </a:xfrm>
                        <a:prstGeom prst="rect">
                          <a:avLst/>
                        </a:prstGeom>
                        <a:solidFill>
                          <a:prstClr val="white"/>
                        </a:solidFill>
                        <a:ln>
                          <a:noFill/>
                        </a:ln>
                      </wps:spPr>
                      <wps:txbx>
                        <w:txbxContent>
                          <w:p w14:paraId="3285883F" w14:textId="532DBB07" w:rsidR="00C46055" w:rsidRDefault="00C46055" w:rsidP="00C46055">
                            <w:pPr>
                              <w:pStyle w:val="Beschriftung"/>
                              <w:rPr>
                                <w:lang w:val="de-DE"/>
                              </w:rPr>
                            </w:pPr>
                            <w:r>
                              <w:t xml:space="preserve">Abbildung </w:t>
                            </w:r>
                            <w:fldSimple w:instr=" SEQ Abbildung \* ARABIC ">
                              <w:r>
                                <w:rPr>
                                  <w:noProof/>
                                </w:rPr>
                                <w:t>1</w:t>
                              </w:r>
                            </w:fldSimple>
                            <w:r>
                              <w:t>:</w:t>
                            </w:r>
                            <w:r>
                              <w:rPr>
                                <w:noProof/>
                              </w:rPr>
                              <w:t xml:space="preserve"> Ausschnitt aus der Abschlussumfrage an die ProbandInnen. Auf die Frage, welchen Test sie am schwierigsten fanden, hatte niemand den Ilji-Test angekreuzt.</w:t>
                            </w:r>
                          </w:p>
                        </w:txbxContent>
                      </wps:txbx>
                      <wps:bodyPr rot="0" spcFirstLastPara="0" vertOverflow="clip" horzOverflow="clip"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9BB5D4E" id="Textfeld 4" o:spid="_x0000_s1027" type="#_x0000_t202" style="position:absolute;left:0;text-align:left;margin-left:269.35pt;margin-top:73.2pt;width:191.4pt;height:41.9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jCLGgIAADoEAAAOAAAAZHJzL2Uyb0RvYy54bWysU01v2zAMvQ/YfxB0X5yk6weMOEWWIsOA&#10;oC2QDj0rshQLkEWNUmJnv36UHTdtdht2kWmSehTfI2f3bW3ZQWEw4Ao+GY05U05Cadyu4D9fVl/u&#10;OAtRuFJYcKrgRxX4/fzzp1njczWFCmypkBGIC3njC17F6PMsC7JStQgj8MpRUAPWItIv7rISRUPo&#10;tc2m4/FN1gCWHkGqEMj70Af5vMPXWsn4pHVQkdmC09tid2J3btOZzWci36HwlZGnZ4h/eEUtjKOi&#10;b1APIgq2R/MXVG0kQgAdRxLqDLQ2UnU9UDeT8UU3m0p41fVC5AT/RlP4f7Dy8bDxz8hi+w1aEjAR&#10;0viQB3KmflqNdfrSSxnFicLjG22qjUySc/r1anx7RyFJseur6e3NdYLJzrc9hvhdQc2SUXAkWTq2&#10;xGEdYp86pKRiAawpV8ba9JMCS4vsIEjCpjJRncA/ZFmXch2kWz1g8mTnVpIV223LTPmuzS2UR+oe&#10;oR+M4OXKUL21CPFZIE0CdUXTHZ/o0BaagktrPGcV4O9LX8ojYSjCWUMTVfDway9QcWZ/OJKMoOJg&#10;4GBsB8Pt6yVQhxPaFy87ky5gtIOpEepXGvZFqkIh4STVKngczGXs55qWRarFokuiIfMirt3GywQ9&#10;8PnSvgr0JzUi6fgIw6yJ/EKUPrdnd7GPoE2nWOKzZ+9EMw1op/lpmdIGvP/vss4rP/8DAAD//wMA&#10;UEsDBBQABgAIAAAAIQCT/ajs4QAAAAsBAAAPAAAAZHJzL2Rvd25yZXYueG1sTI9BT4NAEIXvJv6H&#10;zZh4MXYptFiRpdFWb3pobXresiMQ2VnCLoX+e8eTHifvy3vf5OvJtuKMvW8cKZjPIhBIpTMNVQoO&#10;n2/3KxA+aDK6dYQKLuhhXVxf5TozbqQdnvehElxCPtMK6hC6TEpf1mi1n7kOibMv11sd+OwraXo9&#10;crltZRxFqbS6IV6odYebGsvv/WAVpNt+GHe0udseXt/1R1fFx5fLUanbm+n5CUTAKfzB8KvP6lCw&#10;08kNZLxoFSyT1QOjHCzSBQgmHuP5EsRJQZxECcgil/9/KH4AAAD//wMAUEsBAi0AFAAGAAgAAAAh&#10;ALaDOJL+AAAA4QEAABMAAAAAAAAAAAAAAAAAAAAAAFtDb250ZW50X1R5cGVzXS54bWxQSwECLQAU&#10;AAYACAAAACEAOP0h/9YAAACUAQAACwAAAAAAAAAAAAAAAAAvAQAAX3JlbHMvLnJlbHNQSwECLQAU&#10;AAYACAAAACEAMqIwixoCAAA6BAAADgAAAAAAAAAAAAAAAAAuAgAAZHJzL2Uyb0RvYy54bWxQSwEC&#10;LQAUAAYACAAAACEAk/2o7OEAAAALAQAADwAAAAAAAAAAAAAAAAB0BAAAZHJzL2Rvd25yZXYueG1s&#10;UEsFBgAAAAAEAAQA8wAAAIIFAAAAAA==&#10;" stroked="f">
                <v:textbox inset="0,0,0,0">
                  <w:txbxContent>
                    <w:p w14:paraId="3285883F" w14:textId="532DBB07" w:rsidR="00C46055" w:rsidRDefault="00C46055" w:rsidP="00C46055">
                      <w:pPr>
                        <w:pStyle w:val="Beschriftung"/>
                        <w:rPr>
                          <w:lang w:val="de-DE"/>
                        </w:rPr>
                      </w:pPr>
                      <w:r>
                        <w:t xml:space="preserve">Abbildung </w:t>
                      </w:r>
                      <w:fldSimple w:instr=" SEQ Abbildung \* ARABIC ">
                        <w:r>
                          <w:rPr>
                            <w:noProof/>
                          </w:rPr>
                          <w:t>1</w:t>
                        </w:r>
                      </w:fldSimple>
                      <w:r>
                        <w:t>:</w:t>
                      </w:r>
                      <w:r>
                        <w:rPr>
                          <w:noProof/>
                        </w:rPr>
                        <w:t xml:space="preserve"> Ausschnitt aus der Abschlussumfrage an die ProbandInnen. Auf die Frage, welchen Test sie am schwierigsten fanden, hatte niemand den Ilji-Test angekreuzt.</w:t>
                      </w:r>
                    </w:p>
                  </w:txbxContent>
                </v:textbox>
                <w10:wrap type="through"/>
              </v:shape>
            </w:pict>
          </mc:Fallback>
        </mc:AlternateContent>
      </w:r>
      <w:r w:rsidR="00C46055">
        <w:rPr>
          <w:lang w:val="de-DE"/>
        </w:rPr>
        <w:t>Die ProbandInnen waren zu schnell mit dem Test fertig und hatten Zeit, ihn nochmals durchzugehen. Das kann daran liegen, dass laute Geräusche bei vielen Menschen zu einer Stresssituation führen. Die deswegen ausgeschütteten Hormone haben die ProbandInnen möglicherweise für einen kurzen Moment konzentrierter und schneller</w:t>
      </w:r>
      <w:r w:rsidR="001D246A">
        <w:rPr>
          <w:lang w:val="de-DE"/>
        </w:rPr>
        <w:t xml:space="preserve"> im Lösen des Tests</w:t>
      </w:r>
      <w:r w:rsidR="00C46055">
        <w:rPr>
          <w:lang w:val="de-DE"/>
        </w:rPr>
        <w:t xml:space="preserve"> gemacht (ähnlich wie beim Prüfungsstress).</w:t>
      </w:r>
    </w:p>
    <w:p w14:paraId="0F4A665C" w14:textId="6465D523" w:rsidR="00C46055" w:rsidRDefault="00C46055" w:rsidP="00AA3F5B">
      <w:pPr>
        <w:pStyle w:val="Listenabsatz"/>
        <w:numPr>
          <w:ilvl w:val="0"/>
          <w:numId w:val="1"/>
        </w:numPr>
        <w:ind w:left="426"/>
        <w:rPr>
          <w:lang w:val="de-DE"/>
        </w:rPr>
      </w:pPr>
      <w:r>
        <w:rPr>
          <w:lang w:val="de-DE"/>
        </w:rPr>
        <w:lastRenderedPageBreak/>
        <w:t xml:space="preserve">Jugendliche werden in ihrem Alltag mit viel Lärm konfrontiert. Es gibt vielleicht welche, die haben zu Hause nicht viel Ruhe und man gewöhnt sich das Lernen mit lauten Geräuschen an. Gewisse haben eventuell auch die Fähigkeit, laute Geräusche </w:t>
      </w:r>
      <w:r w:rsidR="006E62D8">
        <w:rPr>
          <w:lang w:val="de-DE"/>
        </w:rPr>
        <w:t xml:space="preserve">als Sekundärfolge </w:t>
      </w:r>
      <w:r w:rsidR="0075671B">
        <w:rPr>
          <w:lang w:val="de-DE"/>
        </w:rPr>
        <w:t xml:space="preserve">der Konzentration </w:t>
      </w:r>
      <w:r>
        <w:rPr>
          <w:lang w:val="de-DE"/>
        </w:rPr>
        <w:t>auszublenden, was ebenfalls die hohe Erfolgsquote erklären würde.</w:t>
      </w:r>
    </w:p>
    <w:p w14:paraId="344590AB" w14:textId="65D262E3" w:rsidR="00C46055" w:rsidRDefault="00C46055" w:rsidP="00C46055">
      <w:pPr>
        <w:rPr>
          <w:lang w:val="de-DE"/>
        </w:rPr>
      </w:pPr>
      <w:r>
        <w:rPr>
          <w:lang w:val="de-DE"/>
        </w:rPr>
        <w:t xml:space="preserve">Interessant ist aber auch, dass uns viele ProbandInnen zurückgemeldet haben, dass sie sich zu den lauten Geräuschen konzentrierter gefühlt haben beim Lösen des </w:t>
      </w:r>
      <w:proofErr w:type="spellStart"/>
      <w:r w:rsidR="009F27DC">
        <w:rPr>
          <w:lang w:val="de-DE"/>
        </w:rPr>
        <w:t>Ilji</w:t>
      </w:r>
      <w:proofErr w:type="spellEnd"/>
      <w:r w:rsidR="009F27DC">
        <w:rPr>
          <w:lang w:val="de-DE"/>
        </w:rPr>
        <w:t>-</w:t>
      </w:r>
      <w:r>
        <w:rPr>
          <w:lang w:val="de-DE"/>
        </w:rPr>
        <w:t>Tests als bei den anderen Testreihen. Unsere Vermutungen treffen also mit hoher Wahrscheinlichkeit zu.</w:t>
      </w:r>
    </w:p>
    <w:p w14:paraId="6BCBC144" w14:textId="77777777" w:rsidR="00C46055" w:rsidRDefault="00C46055" w:rsidP="00C46055">
      <w:pPr>
        <w:rPr>
          <w:lang w:val="de-DE"/>
        </w:rPr>
      </w:pPr>
      <w:r>
        <w:rPr>
          <w:lang w:val="de-DE"/>
        </w:rPr>
        <w:t xml:space="preserve">Blendet man den Wert bei den lauten Geräuschen aus, kommt man zur Erkenntnis, dass man sich anscheinend am besten zu leisen Hintergrundgeräusche konzentrieren kann. Mit 79.54 % war bei dieser Testreihe der Mittelwert ebenfalls hoch. Dieses Ergebnis hätte auch unseren Vorstellungen und Annahmen entsprochen und lag somit in unseren Erwartungen. </w:t>
      </w:r>
    </w:p>
    <w:p w14:paraId="02C2430B" w14:textId="144F45B9" w:rsidR="00C46055" w:rsidRDefault="00C37E22" w:rsidP="00C46055">
      <w:pPr>
        <w:rPr>
          <w:lang w:val="de-DE"/>
        </w:rPr>
      </w:pPr>
      <w:r>
        <w:rPr>
          <w:noProof/>
        </w:rPr>
        <mc:AlternateContent>
          <mc:Choice Requires="wps">
            <w:drawing>
              <wp:anchor distT="45720" distB="45720" distL="114300" distR="114300" simplePos="0" relativeHeight="251657728" behindDoc="0" locked="0" layoutInCell="1" allowOverlap="1" wp14:anchorId="6F6D377A" wp14:editId="2EE3AA08">
                <wp:simplePos x="0" y="0"/>
                <wp:positionH relativeFrom="column">
                  <wp:posOffset>3146425</wp:posOffset>
                </wp:positionH>
                <wp:positionV relativeFrom="paragraph">
                  <wp:posOffset>901700</wp:posOffset>
                </wp:positionV>
                <wp:extent cx="2613660" cy="693420"/>
                <wp:effectExtent l="0" t="0" r="15240" b="11430"/>
                <wp:wrapSquare wrapText="bothSides"/>
                <wp:docPr id="324939954"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3660" cy="693420"/>
                        </a:xfrm>
                        <a:prstGeom prst="rect">
                          <a:avLst/>
                        </a:prstGeom>
                        <a:solidFill>
                          <a:srgbClr val="FFFFFF"/>
                        </a:solidFill>
                        <a:ln w="9525">
                          <a:solidFill>
                            <a:srgbClr val="7030A0"/>
                          </a:solidFill>
                          <a:miter lim="800000"/>
                          <a:headEnd/>
                          <a:tailEnd/>
                        </a:ln>
                      </wps:spPr>
                      <wps:txbx>
                        <w:txbxContent>
                          <w:p w14:paraId="790A6069" w14:textId="1C6CCFFD" w:rsidR="00C46055" w:rsidRDefault="00C46055" w:rsidP="00C46055">
                            <w:r>
                              <w:rPr>
                                <w:color w:val="7030A0"/>
                              </w:rPr>
                              <w:t>EXTREMUM</w:t>
                            </w:r>
                            <w:r>
                              <w:t>: Bezeichnung für den höchsten bzw. tiefsten Wert innerhalb einer Testreihe.</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6D377A" id="Textfeld 3" o:spid="_x0000_s1028" type="#_x0000_t202" style="position:absolute;margin-left:247.75pt;margin-top:71pt;width:205.8pt;height:54.6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K1fKwIAAE4EAAAOAAAAZHJzL2Uyb0RvYy54bWysVNtu2zAMfR+wfxD0vti5tjHiFFm6DAO6&#10;dUC7D5BlORYmi5qkxM6+vpScpFmGvgzzgyCK1BF5DunFXdcoshfWSdA5HQ5SSoTmUEq9zemP582H&#10;W0qcZ7pkCrTI6UE4erd8/27RmkyMoAZVCksQRLusNTmtvTdZkjhei4a5ARih0VmBbZhH026T0rIW&#10;0RuVjNJ0lrRgS2OBC+fw9L530mXEryrB/WNVOeGJyinm5uNq41qENVkuWLa1zNSSH9Ng/5BFw6TG&#10;R89Q98wzsrPyL6hGcgsOKj/g0CRQVZKLWANWM0yvqnmqmRGxFiTHmTNN7v/B8m/7J/PdEt99hA4F&#10;jEU48wD8pyMa1jXTW7GyFtpasBIfHgbKkta47Hg1UO0yF0CK9iuUKDLbeYhAXWWbwArWSRAdBTic&#10;SRedJxwPR7PheDZDF0ffbD6ejKIqCctOt411/rOAhoRNTi2KGtHZ/sH5kA3LTiHhMQdKlhupVDTs&#10;tlgrS/YMG2ATv1jAVZjSpM3pfDqa9gS8CXGTjtPVKcE/Xmqkx05WssnpbRq+vrcCbZ90GfvMM6n6&#10;Paas9JHHQF1Pou+KjsgSOQl3A60FlAck1kLfuDho/hGXSgGmy5U0lNRgf1+fhTjsEfRQ0mJz59T9&#10;2jErKFFfNIo4H04mYRqiMZneIOXEXnqKSw/THKFy6inpt2sfJyjwq2GFYlcy6vCa8bE0bNooz3HA&#10;wlRc2jHq9TewfAEAAP//AwBQSwMEFAAGAAgAAAAhAAS70uPeAAAACwEAAA8AAABkcnMvZG93bnJl&#10;di54bWxMj91Og0AQhe9NfIfNmHhnF0ixLbI0xsRo4hWlDzBlRyDuD2G3gG/veKWXk/PlzHfK42qN&#10;mGkKg3cK0k0Cglzr9eA6Befm9WEPIkR0Go13pOCbAhyr25sSC+0XV9N8ip3gEhcKVNDHOBZShrYn&#10;i2HjR3KcffrJYuRz6qSecOFya2SWJI/S4uD4Q48jvfTUfp2uVoHU84dpzP496Oac45r29fJWK3V/&#10;tz4/gYi0xj8YfvVZHSp2uvir00EYBdtDnjPKwTbjUUwckl0K4qIgy9MMZFXK/xuqHwAAAP//AwBQ&#10;SwECLQAUAAYACAAAACEAtoM4kv4AAADhAQAAEwAAAAAAAAAAAAAAAAAAAAAAW0NvbnRlbnRfVHlw&#10;ZXNdLnhtbFBLAQItABQABgAIAAAAIQA4/SH/1gAAAJQBAAALAAAAAAAAAAAAAAAAAC8BAABfcmVs&#10;cy8ucmVsc1BLAQItABQABgAIAAAAIQAkzK1fKwIAAE4EAAAOAAAAAAAAAAAAAAAAAC4CAABkcnMv&#10;ZTJvRG9jLnhtbFBLAQItABQABgAIAAAAIQAEu9Lj3gAAAAsBAAAPAAAAAAAAAAAAAAAAAIUEAABk&#10;cnMvZG93bnJldi54bWxQSwUGAAAAAAQABADzAAAAkAUAAAAA&#10;" strokecolor="#7030a0">
                <v:textbox>
                  <w:txbxContent>
                    <w:p w14:paraId="790A6069" w14:textId="1C6CCFFD" w:rsidR="00C46055" w:rsidRDefault="00C46055" w:rsidP="00C46055">
                      <w:r>
                        <w:rPr>
                          <w:color w:val="7030A0"/>
                        </w:rPr>
                        <w:t>EXTREMUM</w:t>
                      </w:r>
                      <w:r>
                        <w:t>: Bezeichnung für den höchsten bzw. tiefsten Wert innerhalb einer Testreihe.</w:t>
                      </w:r>
                    </w:p>
                  </w:txbxContent>
                </v:textbox>
                <w10:wrap type="square"/>
              </v:shape>
            </w:pict>
          </mc:Fallback>
        </mc:AlternateContent>
      </w:r>
      <w:r w:rsidR="00E44ADB">
        <w:rPr>
          <w:noProof/>
          <w:lang w:val="de-DE"/>
        </w:rPr>
        <w:drawing>
          <wp:anchor distT="0" distB="0" distL="114300" distR="114300" simplePos="0" relativeHeight="251659776" behindDoc="0" locked="0" layoutInCell="1" allowOverlap="1" wp14:anchorId="51CDF953" wp14:editId="740DCF09">
            <wp:simplePos x="0" y="0"/>
            <wp:positionH relativeFrom="column">
              <wp:posOffset>-635</wp:posOffset>
            </wp:positionH>
            <wp:positionV relativeFrom="paragraph">
              <wp:posOffset>901065</wp:posOffset>
            </wp:positionV>
            <wp:extent cx="3032760" cy="4900295"/>
            <wp:effectExtent l="0" t="0" r="0" b="0"/>
            <wp:wrapThrough wrapText="bothSides">
              <wp:wrapPolygon edited="0">
                <wp:start x="0" y="0"/>
                <wp:lineTo x="0" y="21496"/>
                <wp:lineTo x="21437" y="21496"/>
                <wp:lineTo x="21437" y="0"/>
                <wp:lineTo x="0" y="0"/>
              </wp:wrapPolygon>
            </wp:wrapThrough>
            <wp:docPr id="10906023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32760" cy="49002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46055">
        <w:rPr>
          <w:lang w:val="de-DE"/>
        </w:rPr>
        <w:t>In einem nächsten Schritt haben wir unsere Mittelwerte in einem Säulendiagramm grafisch dargestellt</w:t>
      </w:r>
      <w:r w:rsidR="00EA6432">
        <w:rPr>
          <w:lang w:val="de-DE"/>
        </w:rPr>
        <w:t xml:space="preserve"> (vgl. Abb. </w:t>
      </w:r>
      <w:r w:rsidR="0029780E">
        <w:rPr>
          <w:lang w:val="de-DE"/>
        </w:rPr>
        <w:t>2</w:t>
      </w:r>
      <w:r w:rsidR="00C46055">
        <w:rPr>
          <w:lang w:val="de-DE"/>
        </w:rPr>
        <w:t xml:space="preserve">). Wir haben insgesamt zwei Säulendiagramme erstellt: Das Erste zeigt lediglich die Mittelwerte, während das Zweite auch die </w:t>
      </w:r>
      <w:r w:rsidR="00C46055">
        <w:rPr>
          <w:color w:val="7030A0"/>
          <w:lang w:val="de-DE"/>
        </w:rPr>
        <w:t xml:space="preserve">Extrema </w:t>
      </w:r>
      <w:r w:rsidR="00C46055">
        <w:rPr>
          <w:lang w:val="de-DE"/>
        </w:rPr>
        <w:t xml:space="preserve">aufzeigt. Damit wollten wir die Streuung während </w:t>
      </w:r>
      <w:r w:rsidR="00EE6C9A">
        <w:rPr>
          <w:lang w:val="de-DE"/>
        </w:rPr>
        <w:t>Werte</w:t>
      </w:r>
      <w:r w:rsidR="00C46055">
        <w:rPr>
          <w:lang w:val="de-DE"/>
        </w:rPr>
        <w:t>einer Testreihe grafisch darstellen.</w:t>
      </w:r>
    </w:p>
    <w:p w14:paraId="27B8264C" w14:textId="016E0802" w:rsidR="00E44ADB" w:rsidRDefault="00E44ADB" w:rsidP="00C46055">
      <w:pPr>
        <w:rPr>
          <w:lang w:val="de-DE"/>
        </w:rPr>
      </w:pPr>
    </w:p>
    <w:p w14:paraId="7192C1DA" w14:textId="295C78CF" w:rsidR="00C46055" w:rsidRDefault="00C47A6C" w:rsidP="00C46055">
      <w:pPr>
        <w:rPr>
          <w:lang w:val="de-DE"/>
        </w:rPr>
      </w:pPr>
      <w:r w:rsidRPr="00C47A6C">
        <w:rPr>
          <w:noProof/>
          <w:lang w:val="de-DE"/>
        </w:rPr>
        <mc:AlternateContent>
          <mc:Choice Requires="wps">
            <w:drawing>
              <wp:anchor distT="45720" distB="45720" distL="114300" distR="114300" simplePos="0" relativeHeight="251660800" behindDoc="0" locked="0" layoutInCell="1" allowOverlap="1" wp14:anchorId="1B3519E7" wp14:editId="4DDB61EB">
                <wp:simplePos x="0" y="0"/>
                <wp:positionH relativeFrom="column">
                  <wp:posOffset>-633095</wp:posOffset>
                </wp:positionH>
                <wp:positionV relativeFrom="paragraph">
                  <wp:posOffset>1108075</wp:posOffset>
                </wp:positionV>
                <wp:extent cx="929640" cy="274320"/>
                <wp:effectExtent l="3810" t="0" r="7620" b="0"/>
                <wp:wrapNone/>
                <wp:docPr id="29153752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929640" cy="27432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7AA652D" w14:textId="240F8DD4" w:rsidR="00C47A6C" w:rsidRPr="00C47A6C" w:rsidRDefault="00C47A6C">
                            <w:pPr>
                              <w:rPr>
                                <w:i/>
                                <w:iCs/>
                                <w:sz w:val="20"/>
                                <w:szCs w:val="20"/>
                              </w:rPr>
                            </w:pPr>
                            <w:r w:rsidRPr="00C47A6C">
                              <w:rPr>
                                <w:i/>
                                <w:iCs/>
                                <w:sz w:val="20"/>
                                <w:szCs w:val="20"/>
                              </w:rPr>
                              <w:t>Erfolgsquote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3519E7" id="Textfeld 2" o:spid="_x0000_s1029" type="#_x0000_t202" style="position:absolute;margin-left:-49.85pt;margin-top:87.25pt;width:73.2pt;height:21.6pt;rotation:-90;z-index:25166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lAKOQIAALYEAAAOAAAAZHJzL2Uyb0RvYy54bWysVNtu2zAMfR+wfxD0vjhJs3Yx4hRdig4D&#10;ugvW7QNkWYqNyqImKbGzry9Fu0m2PXVYHgSLlyMeHjKr6741bK98aMAWfDaZcqashKqx24L/+H73&#10;5h1nIQpbCQNWFfygAr9ev3616lyu5lCDqZRnCGJD3rmC1zG6PMuCrFUrwgScsujU4FsR8eq3WeVF&#10;h+ityebT6WXWga+cB6lCQOvt4ORrwtdayfhF66AiMwXH2iKdns4yndl6JfKtF65u5FiG+IcqWtFY&#10;fPQIdSuiYDvf/AXVNtJDAB0nEtoMtG6kIg7IZjb9g81DLZwiLtic4I5tCv8PVn7eP7ivnsX+PfQo&#10;IJEI7h7kY2AWNrWwW3XjPXS1EhU+PEstyzoX8jE1tTrkIYGU3SeoUGSxi0BAvfYt84Bdn12iWvgj&#10;M9Jm+BjqcThqoPrIJBqX8+XlAj0SXfOrxcWcNMpEnrBSh50P8YOClqWPgnuUmEDF/j7EVNspJIVb&#10;uGuMIZmN/c2AgclCXFL5I5F4MCrFGftNadZUVGgyBOm35cZ4NowPzjeW+TxEBIYJKVDjgy/MHVNS&#10;tqKpfWH+MYneBxuP+W1jwVODaKdUIrAXuA3V4yAl1jvEP7diaEASNfZljx0o+EUSPVlKqA4oNEmK&#10;7HHxUYIa/C/OOlyigoefO+EVZ+ajxWFZzhZJy0iXxdsrFJP5c0957hFWIlTBI2fD5yZSqxMnCzc4&#10;VLohhU+VjDXjcpDw4yKn7Tu/U9Tp72b9BAAA//8DAFBLAwQUAAYACAAAACEAJCGmNt4AAAAKAQAA&#10;DwAAAGRycy9kb3ducmV2LnhtbEyPwW7CMAyG70i8Q+RJu6CS0jEEpSlimybtSjfuoTFttcapmkDb&#10;t5932k6W9X/6/Tk7jLYVd+x940jBahmDQCqdaahS8PX5Hm1B+KDJ6NYRKpjQwyGfzzKdGjfQCe9F&#10;qASXkE+1gjqELpXSlzVa7ZeuQ+Ls6nqrA699JU2vBy63rUzieCOtbogv1LrD1xrL7+JmFYS30Dhz&#10;XsRXdxqeX6aPwks7KfX4MB73IAKO4Q+GX31Wh5ydLu5GxotWQbTerhjlIEl2IJiI1jwvCpLN7glk&#10;nsn/L+Q/AAAA//8DAFBLAQItABQABgAIAAAAIQC2gziS/gAAAOEBAAATAAAAAAAAAAAAAAAAAAAA&#10;AABbQ29udGVudF9UeXBlc10ueG1sUEsBAi0AFAAGAAgAAAAhADj9If/WAAAAlAEAAAsAAAAAAAAA&#10;AAAAAAAALwEAAF9yZWxzLy5yZWxzUEsBAi0AFAAGAAgAAAAhABwSUAo5AgAAtgQAAA4AAAAAAAAA&#10;AAAAAAAALgIAAGRycy9lMm9Eb2MueG1sUEsBAi0AFAAGAAgAAAAhACQhpjbeAAAACgEAAA8AAAAA&#10;AAAAAAAAAAAAkwQAAGRycy9kb3ducmV2LnhtbFBLBQYAAAAABAAEAPMAAACeBQAAAAA=&#10;" filled="f" stroked="f">
                <v:textbox>
                  <w:txbxContent>
                    <w:p w14:paraId="57AA652D" w14:textId="240F8DD4" w:rsidR="00C47A6C" w:rsidRPr="00C47A6C" w:rsidRDefault="00C47A6C">
                      <w:pPr>
                        <w:rPr>
                          <w:i/>
                          <w:iCs/>
                          <w:sz w:val="20"/>
                          <w:szCs w:val="20"/>
                        </w:rPr>
                      </w:pPr>
                      <w:r w:rsidRPr="00C47A6C">
                        <w:rPr>
                          <w:i/>
                          <w:iCs/>
                          <w:sz w:val="20"/>
                          <w:szCs w:val="20"/>
                        </w:rPr>
                        <w:t>Erfolgsquote</w:t>
                      </w:r>
                    </w:p>
                  </w:txbxContent>
                </v:textbox>
              </v:shape>
            </w:pict>
          </mc:Fallback>
        </mc:AlternateContent>
      </w:r>
      <w:r w:rsidR="000346A1">
        <w:rPr>
          <w:noProof/>
        </w:rPr>
        <mc:AlternateContent>
          <mc:Choice Requires="wps">
            <w:drawing>
              <wp:anchor distT="0" distB="0" distL="114300" distR="114300" simplePos="0" relativeHeight="251658752" behindDoc="1" locked="0" layoutInCell="1" allowOverlap="1" wp14:anchorId="41444088" wp14:editId="617BC3B3">
                <wp:simplePos x="0" y="0"/>
                <wp:positionH relativeFrom="column">
                  <wp:posOffset>-635</wp:posOffset>
                </wp:positionH>
                <wp:positionV relativeFrom="paragraph">
                  <wp:posOffset>3973195</wp:posOffset>
                </wp:positionV>
                <wp:extent cx="3032760" cy="574675"/>
                <wp:effectExtent l="0" t="0" r="0" b="635"/>
                <wp:wrapTight wrapText="bothSides">
                  <wp:wrapPolygon edited="0">
                    <wp:start x="0" y="0"/>
                    <wp:lineTo x="0" y="21019"/>
                    <wp:lineTo x="21437" y="21019"/>
                    <wp:lineTo x="21437" y="0"/>
                    <wp:lineTo x="0" y="0"/>
                  </wp:wrapPolygon>
                </wp:wrapTight>
                <wp:docPr id="361891929" name="Textfeld 2"/>
                <wp:cNvGraphicFramePr/>
                <a:graphic xmlns:a="http://schemas.openxmlformats.org/drawingml/2006/main">
                  <a:graphicData uri="http://schemas.microsoft.com/office/word/2010/wordprocessingShape">
                    <wps:wsp>
                      <wps:cNvSpPr txBox="1"/>
                      <wps:spPr>
                        <a:xfrm>
                          <a:off x="0" y="0"/>
                          <a:ext cx="3032760" cy="574675"/>
                        </a:xfrm>
                        <a:prstGeom prst="rect">
                          <a:avLst/>
                        </a:prstGeom>
                        <a:solidFill>
                          <a:prstClr val="white"/>
                        </a:solidFill>
                        <a:ln>
                          <a:noFill/>
                        </a:ln>
                      </wps:spPr>
                      <wps:txbx>
                        <w:txbxContent>
                          <w:p w14:paraId="0C1B8133" w14:textId="5127D153" w:rsidR="00C46055" w:rsidRDefault="00C46055" w:rsidP="00C46055">
                            <w:pPr>
                              <w:pStyle w:val="Beschriftung"/>
                              <w:rPr>
                                <w:noProof/>
                                <w:lang w:val="de-DE"/>
                              </w:rPr>
                            </w:pPr>
                            <w:r>
                              <w:t xml:space="preserve">Abbildung </w:t>
                            </w:r>
                            <w:fldSimple w:instr=" SEQ Abbildung \* ARABIC ">
                              <w:r>
                                <w:rPr>
                                  <w:noProof/>
                                </w:rPr>
                                <w:t>2</w:t>
                              </w:r>
                            </w:fldSimple>
                            <w:r>
                              <w:t>: Das Säulendiagramm zeigt die Extrema jeder Testreihe auf</w:t>
                            </w:r>
                            <w:r w:rsidR="00546743">
                              <w:t xml:space="preserve"> (oberes bzw. unteres Ende des Balkens)</w:t>
                            </w:r>
                            <w:r>
                              <w:t xml:space="preserve">. </w:t>
                            </w:r>
                            <w:r w:rsidR="00E44ADB">
                              <w:t>Beim Übergang</w:t>
                            </w:r>
                            <w:r w:rsidR="00546743">
                              <w:t xml:space="preserve"> der Farbbalken befindet sich zudem der Mittelwert der jeweiligen Testreihe.</w:t>
                            </w:r>
                          </w:p>
                        </w:txbxContent>
                      </wps:txbx>
                      <wps:bodyPr rot="0" spcFirstLastPara="0" vertOverflow="clip" horzOverflow="clip"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41444088" id="_x0000_s1030" type="#_x0000_t202" style="position:absolute;margin-left:-.05pt;margin-top:312.85pt;width:238.8pt;height:45.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D56HAIAADoEAAAOAAAAZHJzL2Uyb0RvYy54bWysU1GP2jAMfp+0/xDlfRS4O5gQ5cQ4MU1C&#10;dydx0z2HNKWR0jhzAi379XNSCht7m/aSurbzOf4+e/7Y1oYdFXoNNuejwZAzZSUU2u5z/v1t/ekz&#10;Zz4IWwgDVuX8pDx/XHz8MG/cTI2hAlMoZARi/axxOa9CcLMs87JStfADcMpSsASsRaBf3GcFiobQ&#10;a5ONh8NJ1gAWDkEq78n71AX5IuGXpZLhpSy9CszknN4W0onp3MUzW8zFbI/CVVqenyH+4RW10JaK&#10;XqCeRBDsgPovqFpLBA9lGEioMyhLLVXqgboZDW+62VbCqdQLkePdhSb//2Dl83HrXpGF9gu0JGAk&#10;pHF+5skZ+2lLrOOXXsooThSeLrSpNjBJzrvh3Xg6oZCk2MP0fjJ9iDDZ9bZDH74qqFk0co4kS2JL&#10;HDc+dKl9SizmwehirY2JPzGwMsiOgiRsKh3UGfyPLGNjroV4qwOMnuzaSrRCu2uZLnJ+37e5g+JE&#10;3SN0g+GdXGuqtxE+vAqkSaCuaLrDCx2lgSbn0mjHWQX489YX80gYinDW0ETl3P84CFScmW+WJCOo&#10;0BvYG7vesId6BdThiPbFyWTSBQymN0uE+p2GfRmrUEhYSbVyHnpzFbq5pmWRarlMSTRkToSN3ToZ&#10;oXs+39p3ge6sRiAdn6GfNTG7EaXLTbK45SEQw0mxyGfH3plmGtCk+XmZ4gb8/p+yriu/+AUAAP//&#10;AwBQSwMEFAAGAAgAAAAhANTEh7LhAAAACQEAAA8AAABkcnMvZG93bnJldi54bWxMjzFPwzAUhHck&#10;/oP1kFhQ6ySkCUrjVFUFAywVoQubG7/GKfFzFDtt+PeYCcbTne6+Kzez6dkFR9dZEhAvI2BIjVUd&#10;tQIOHy+LJ2DOS1Kyt4QCvtHBprq9KWWh7JXe8VL7loUScoUUoL0fCs5do9FIt7QDUvBOdjTSBzm2&#10;XI3yGspNz5MoyriRHYUFLQfcaWy+6skI2Kefe/0wnZ7ftunj+HqYdtm5rYW4v5u3a2AeZ/8Xhl/8&#10;gA5VYDraiZRjvYBFHIICsmSVAwt+mucrYEcBeZwlwKuS/39Q/QAAAP//AwBQSwECLQAUAAYACAAA&#10;ACEAtoM4kv4AAADhAQAAEwAAAAAAAAAAAAAAAAAAAAAAW0NvbnRlbnRfVHlwZXNdLnhtbFBLAQIt&#10;ABQABgAIAAAAIQA4/SH/1gAAAJQBAAALAAAAAAAAAAAAAAAAAC8BAABfcmVscy8ucmVsc1BLAQIt&#10;ABQABgAIAAAAIQCI7D56HAIAADoEAAAOAAAAAAAAAAAAAAAAAC4CAABkcnMvZTJvRG9jLnhtbFBL&#10;AQItABQABgAIAAAAIQDUxIey4QAAAAkBAAAPAAAAAAAAAAAAAAAAAHYEAABkcnMvZG93bnJldi54&#10;bWxQSwUGAAAAAAQABADzAAAAhAUAAAAA&#10;" stroked="f">
                <v:textbox style="mso-fit-shape-to-text:t" inset="0,0,0,0">
                  <w:txbxContent>
                    <w:p w14:paraId="0C1B8133" w14:textId="5127D153" w:rsidR="00C46055" w:rsidRDefault="00C46055" w:rsidP="00C46055">
                      <w:pPr>
                        <w:pStyle w:val="Beschriftung"/>
                        <w:rPr>
                          <w:noProof/>
                          <w:lang w:val="de-DE"/>
                        </w:rPr>
                      </w:pPr>
                      <w:r>
                        <w:t xml:space="preserve">Abbildung </w:t>
                      </w:r>
                      <w:fldSimple w:instr=" SEQ Abbildung \* ARABIC ">
                        <w:r>
                          <w:rPr>
                            <w:noProof/>
                          </w:rPr>
                          <w:t>2</w:t>
                        </w:r>
                      </w:fldSimple>
                      <w:r>
                        <w:t>: Das Säulendiagramm zeigt die Extrema jeder Testreihe auf</w:t>
                      </w:r>
                      <w:r w:rsidR="00546743">
                        <w:t xml:space="preserve"> (oberes bzw. unteres Ende des Balkens)</w:t>
                      </w:r>
                      <w:r>
                        <w:t xml:space="preserve">. </w:t>
                      </w:r>
                      <w:r w:rsidR="00E44ADB">
                        <w:t>Beim Übergang</w:t>
                      </w:r>
                      <w:r w:rsidR="00546743">
                        <w:t xml:space="preserve"> der Farbbalken befindet sich zudem der Mittelwert der jeweiligen Testreihe.</w:t>
                      </w:r>
                    </w:p>
                  </w:txbxContent>
                </v:textbox>
                <w10:wrap type="tight"/>
              </v:shape>
            </w:pict>
          </mc:Fallback>
        </mc:AlternateContent>
      </w:r>
      <w:r w:rsidR="00C46055">
        <w:rPr>
          <w:lang w:val="de-DE"/>
        </w:rPr>
        <w:t xml:space="preserve">Wir sehen: </w:t>
      </w:r>
      <w:proofErr w:type="spellStart"/>
      <w:r w:rsidR="00C46055">
        <w:rPr>
          <w:lang w:val="de-DE"/>
        </w:rPr>
        <w:t>Ausser</w:t>
      </w:r>
      <w:proofErr w:type="spellEnd"/>
      <w:r w:rsidR="00C46055">
        <w:rPr>
          <w:lang w:val="de-DE"/>
        </w:rPr>
        <w:t xml:space="preserve"> beim letzten Test wurde in jeder Testreihe von mindestens einer Person ein Wert von über 90 % erzielt. Auffallend ist, dass die Streuung unter den ProbandInnen beim ersten Test am </w:t>
      </w:r>
      <w:proofErr w:type="spellStart"/>
      <w:r w:rsidR="00C46055">
        <w:rPr>
          <w:lang w:val="de-DE"/>
        </w:rPr>
        <w:t>grössten</w:t>
      </w:r>
      <w:proofErr w:type="spellEnd"/>
      <w:r w:rsidR="00C46055">
        <w:rPr>
          <w:lang w:val="de-DE"/>
        </w:rPr>
        <w:t xml:space="preserve"> ist. Das liegt vermutlich daran, dass wir sie ins „kalte Wasser geworfen haben“ – Sie wussten ja nicht genau, was auf sie zukommt. Bei den restlichen Testreihen ist die Streuung kleiner. </w:t>
      </w:r>
      <w:r w:rsidR="000669E7">
        <w:rPr>
          <w:lang w:val="de-DE"/>
        </w:rPr>
        <w:t xml:space="preserve">Das deutet daraufhin, dass es zu Beginn </w:t>
      </w:r>
      <w:proofErr w:type="spellStart"/>
      <w:r w:rsidR="000669E7">
        <w:rPr>
          <w:lang w:val="de-DE"/>
        </w:rPr>
        <w:t>grössere</w:t>
      </w:r>
      <w:proofErr w:type="spellEnd"/>
      <w:r w:rsidR="000669E7">
        <w:rPr>
          <w:lang w:val="de-DE"/>
        </w:rPr>
        <w:t xml:space="preserve"> individuelle Unterschiede zwischen den ProbandInnen gab</w:t>
      </w:r>
      <w:r w:rsidR="000346A1">
        <w:rPr>
          <w:lang w:val="de-DE"/>
        </w:rPr>
        <w:t xml:space="preserve">, als im späteren </w:t>
      </w:r>
      <w:r w:rsidR="001B6E20">
        <w:rPr>
          <w:lang w:val="de-DE"/>
        </w:rPr>
        <w:t>Verlauf</w:t>
      </w:r>
      <w:r w:rsidR="000346A1">
        <w:rPr>
          <w:lang w:val="de-DE"/>
        </w:rPr>
        <w:t xml:space="preserve"> unseres Versuches. Einen Lerneffekt konnten</w:t>
      </w:r>
      <w:r w:rsidR="00C46055">
        <w:rPr>
          <w:lang w:val="de-DE"/>
        </w:rPr>
        <w:t xml:space="preserve"> wir leide</w:t>
      </w:r>
      <w:r w:rsidR="000346A1">
        <w:rPr>
          <w:lang w:val="de-DE"/>
        </w:rPr>
        <w:t>r</w:t>
      </w:r>
      <w:r w:rsidR="00C46055">
        <w:rPr>
          <w:lang w:val="de-DE"/>
        </w:rPr>
        <w:t xml:space="preserve"> nicht komplett </w:t>
      </w:r>
      <w:proofErr w:type="spellStart"/>
      <w:r w:rsidR="00C46055">
        <w:rPr>
          <w:lang w:val="de-DE"/>
        </w:rPr>
        <w:t>ausschliessen</w:t>
      </w:r>
      <w:proofErr w:type="spellEnd"/>
      <w:r w:rsidR="00C46055">
        <w:rPr>
          <w:lang w:val="de-DE"/>
        </w:rPr>
        <w:t>, jedoch auf ein Minimum reduzieren</w:t>
      </w:r>
      <w:r w:rsidR="000346A1">
        <w:rPr>
          <w:lang w:val="de-DE"/>
        </w:rPr>
        <w:t>, indem wir für jede Testreihe einen neuen Konzentrationstest entworfen haben.</w:t>
      </w:r>
      <w:r w:rsidR="004435C1">
        <w:rPr>
          <w:lang w:val="de-DE"/>
        </w:rPr>
        <w:t xml:space="preserve"> Um einen Lerneffekt beim nächsten Mal ganz </w:t>
      </w:r>
      <w:proofErr w:type="spellStart"/>
      <w:r w:rsidR="004435C1">
        <w:rPr>
          <w:lang w:val="de-DE"/>
        </w:rPr>
        <w:t>ausschliessen</w:t>
      </w:r>
      <w:proofErr w:type="spellEnd"/>
      <w:r w:rsidR="004435C1">
        <w:rPr>
          <w:lang w:val="de-DE"/>
        </w:rPr>
        <w:t xml:space="preserve"> zu können, </w:t>
      </w:r>
      <w:r w:rsidR="001017C5">
        <w:rPr>
          <w:lang w:val="de-DE"/>
        </w:rPr>
        <w:t>könnten wir die Tests zum Beispiel staffeln, sodass nicht alle ProbandInnen in der gleichen Testriehe denselben Konzentrationstest ausfüllen.</w:t>
      </w:r>
      <w:r w:rsidR="00042C78">
        <w:rPr>
          <w:lang w:val="de-DE"/>
        </w:rPr>
        <w:t xml:space="preserve"> So hätte zumindest der Schwierigkeitsgrad des Tests keinen Einfluss auf die Ergebnisse mehr</w:t>
      </w:r>
      <w:r w:rsidR="00C37E22">
        <w:rPr>
          <w:lang w:val="de-DE"/>
        </w:rPr>
        <w:t>.</w:t>
      </w:r>
    </w:p>
    <w:p w14:paraId="3897B75C" w14:textId="77777777" w:rsidR="00C37E22" w:rsidRDefault="00C37E22" w:rsidP="00AD1755">
      <w:pPr>
        <w:rPr>
          <w:lang w:val="de-DE"/>
        </w:rPr>
      </w:pPr>
    </w:p>
    <w:p w14:paraId="2623C5A1" w14:textId="3057EFCF" w:rsidR="00C46055" w:rsidRDefault="00C46055" w:rsidP="00AD1755">
      <w:pPr>
        <w:rPr>
          <w:lang w:val="de-DE"/>
        </w:rPr>
      </w:pPr>
      <w:r>
        <w:rPr>
          <w:lang w:val="de-DE"/>
        </w:rPr>
        <w:lastRenderedPageBreak/>
        <w:t>Die Frage ist nun, wie aussagekräftig unsere Ergebnisse wirklich sind. So gab es auch ProbandInnen, die ihre Konzentration als viel schlechter eingeschätzt haben, als sie im Test dann tatsächlich war. Auch Personen mit Konzentrationsschwächen haben in den Tests teilweise sehr gut abgeschnitten. Im ersten Moment wirkt dies paradox, jedoch wurde die Konzentration nur für fünf Minuten verlangt, während eine Prüfung in der Regel 45 Minuten dauert. Aus diesem Grund stellten wir uns die Frage, ob die Konzentrationsfähigkeit gegen</w:t>
      </w:r>
      <w:r w:rsidR="00546743">
        <w:rPr>
          <w:lang w:val="de-DE"/>
        </w:rPr>
        <w:t xml:space="preserve"> </w:t>
      </w:r>
      <w:r>
        <w:rPr>
          <w:lang w:val="de-DE"/>
        </w:rPr>
        <w:t>Ende des Tests abnahm, was wir jedoch nicht eindeutig beweisen konnten.</w:t>
      </w:r>
    </w:p>
    <w:p w14:paraId="5C1E4024" w14:textId="77777777" w:rsidR="002404B7" w:rsidRDefault="002404B7" w:rsidP="00AD1755">
      <w:pPr>
        <w:rPr>
          <w:lang w:val="de-DE"/>
        </w:rPr>
      </w:pPr>
    </w:p>
    <w:p w14:paraId="45617E97" w14:textId="77777777" w:rsidR="00C46055" w:rsidRDefault="00C46055" w:rsidP="00C46055">
      <w:pPr>
        <w:rPr>
          <w:lang w:val="de-DE"/>
        </w:rPr>
      </w:pPr>
      <w:r>
        <w:rPr>
          <w:lang w:val="de-DE"/>
        </w:rPr>
        <w:t>Was kann man also aus unseren Ergebnissen mitnehmen?</w:t>
      </w:r>
    </w:p>
    <w:p w14:paraId="48423D2C" w14:textId="77777777" w:rsidR="00C46055" w:rsidRDefault="00C46055" w:rsidP="00C46055">
      <w:pPr>
        <w:pStyle w:val="Listenabsatz"/>
        <w:numPr>
          <w:ilvl w:val="0"/>
          <w:numId w:val="2"/>
        </w:numPr>
        <w:rPr>
          <w:lang w:val="de-DE"/>
        </w:rPr>
      </w:pPr>
      <w:r>
        <w:rPr>
          <w:lang w:val="de-DE"/>
        </w:rPr>
        <w:t>Am besten kann man sich zu ruhigen, leisen Hintergrundgeräuschen konzentrieren.</w:t>
      </w:r>
    </w:p>
    <w:p w14:paraId="3031A46A" w14:textId="5F941A2F" w:rsidR="00C46055" w:rsidRDefault="00C46055" w:rsidP="00C46055">
      <w:pPr>
        <w:pStyle w:val="Listenabsatz"/>
        <w:numPr>
          <w:ilvl w:val="0"/>
          <w:numId w:val="2"/>
        </w:numPr>
        <w:rPr>
          <w:lang w:val="de-DE"/>
        </w:rPr>
      </w:pPr>
      <w:r>
        <w:rPr>
          <w:lang w:val="de-DE"/>
        </w:rPr>
        <w:t>Zu nervigen Geräuschen kann man sich nicht gut konzentrieren.</w:t>
      </w:r>
    </w:p>
    <w:p w14:paraId="7B7D51C4" w14:textId="6470024F" w:rsidR="00C46055" w:rsidRDefault="00C46055" w:rsidP="00C46055">
      <w:pPr>
        <w:pStyle w:val="Listenabsatz"/>
        <w:numPr>
          <w:ilvl w:val="0"/>
          <w:numId w:val="2"/>
        </w:numPr>
        <w:rPr>
          <w:lang w:val="de-DE"/>
        </w:rPr>
      </w:pPr>
      <w:r>
        <w:rPr>
          <w:lang w:val="de-DE"/>
        </w:rPr>
        <w:t xml:space="preserve">Gewisse Personen können sich zu lauten Geräuschen gut konzentrieren, weil sie sich bedingt durch ihr Umfeld, möglicherweise an sie gewöhnt haben oder sie </w:t>
      </w:r>
      <w:r w:rsidR="00350E6F">
        <w:rPr>
          <w:lang w:val="de-DE"/>
        </w:rPr>
        <w:t>un</w:t>
      </w:r>
      <w:r>
        <w:rPr>
          <w:lang w:val="de-DE"/>
        </w:rPr>
        <w:t xml:space="preserve">bewusst ausblenden können. </w:t>
      </w:r>
    </w:p>
    <w:p w14:paraId="11B6D58D" w14:textId="59E263A4" w:rsidR="00C46055" w:rsidRDefault="00C46055" w:rsidP="00C46055">
      <w:pPr>
        <w:pStyle w:val="Listenabsatz"/>
        <w:numPr>
          <w:ilvl w:val="0"/>
          <w:numId w:val="2"/>
        </w:numPr>
        <w:rPr>
          <w:lang w:val="de-DE"/>
        </w:rPr>
      </w:pPr>
      <w:r>
        <w:rPr>
          <w:lang w:val="de-DE"/>
        </w:rPr>
        <w:t>Die Konzentrationsfähigkeit ist auch nach fünf Minuten mehr oder weniger dieselbe.</w:t>
      </w:r>
    </w:p>
    <w:p w14:paraId="2E2B33C0" w14:textId="492F0D9E" w:rsidR="00C46055" w:rsidRDefault="002B399B" w:rsidP="00C46055">
      <w:pPr>
        <w:rPr>
          <w:lang w:val="de-DE"/>
        </w:rPr>
      </w:pPr>
      <w:r>
        <w:rPr>
          <w:lang w:val="de-DE"/>
        </w:rPr>
        <w:t>In Blog 1 hatten wir zwei Hypothesen formuliert, die wie folgt lauten:</w:t>
      </w:r>
    </w:p>
    <w:p w14:paraId="70BFB358" w14:textId="7B4A322A" w:rsidR="002B399B" w:rsidRDefault="00072B91" w:rsidP="001B5F0D">
      <w:pPr>
        <w:ind w:left="708"/>
      </w:pPr>
      <w:r w:rsidRPr="001B5F0D">
        <w:rPr>
          <w:b/>
          <w:bCs/>
        </w:rPr>
        <w:t>H0:</w:t>
      </w:r>
      <w:r>
        <w:t xml:space="preserve"> die Probanden/ Probandinnen können sich unter dem Einfluss von ruhigen/ lauten/ </w:t>
      </w:r>
      <w:r w:rsidRPr="001B5F0D">
        <w:rPr>
          <w:rFonts w:cstheme="minorHAnsi"/>
        </w:rPr>
        <w:t>au</w:t>
      </w:r>
      <w:r w:rsidR="001B5F0D">
        <w:rPr>
          <w:rFonts w:cstheme="minorHAnsi"/>
        </w:rPr>
        <w:t>fb</w:t>
      </w:r>
      <w:r w:rsidRPr="001B5F0D">
        <w:rPr>
          <w:rFonts w:cstheme="minorHAnsi"/>
        </w:rPr>
        <w:t>auenden</w:t>
      </w:r>
      <w:r>
        <w:t xml:space="preserve"> Geräuschen gleich konzentrieren, wie wenn der gezielte Einfluss der abgespielten Geräusche nicht da ist. </w:t>
      </w:r>
      <w:r w:rsidR="001B5F0D">
        <w:br/>
      </w:r>
      <w:r w:rsidRPr="001B5F0D">
        <w:rPr>
          <w:b/>
          <w:bCs/>
        </w:rPr>
        <w:t>H1:</w:t>
      </w:r>
      <w:r>
        <w:t xml:space="preserve"> Die Konzentr</w:t>
      </w:r>
      <w:r w:rsidR="001B5F0D">
        <w:t>ati</w:t>
      </w:r>
      <w:r>
        <w:t>on ist bei den Probanden/ Probandinnen unter dem Einfluss von ruhigen/ lauten/ a</w:t>
      </w:r>
      <w:r w:rsidR="001B5F0D">
        <w:t>ufb</w:t>
      </w:r>
      <w:r>
        <w:t>auenden Geräuschen unterschiedlich, weil die Wahrnehmung unterschiedliche Auswirkungen auf die Probanden/ Probandinnen hat.</w:t>
      </w:r>
    </w:p>
    <w:p w14:paraId="7B8BADF5" w14:textId="0F58B31F" w:rsidR="000134AE" w:rsidRPr="000134AE" w:rsidRDefault="000134AE" w:rsidP="000134AE">
      <w:r>
        <w:rPr>
          <w:b/>
          <w:bCs/>
        </w:rPr>
        <w:t>Dabei hat sich die Hypothese H1 bestätigt:</w:t>
      </w:r>
      <w:r>
        <w:t xml:space="preserve"> Es gab teilweise sehr grosse Unterschiede innerhalb der Testreihen und auch die Mittelwerte schwankten stark (um doch immerhin</w:t>
      </w:r>
      <w:r w:rsidR="009158AC">
        <w:t xml:space="preserve"> 43 Prozentpunkte).</w:t>
      </w:r>
    </w:p>
    <w:p w14:paraId="55E82BE8" w14:textId="048D51CE" w:rsidR="009158AC" w:rsidRDefault="009158AC" w:rsidP="00C46055">
      <w:pPr>
        <w:rPr>
          <w:lang w:val="de-DE"/>
        </w:rPr>
      </w:pPr>
    </w:p>
    <w:p w14:paraId="4A6D2910" w14:textId="0C8142B1" w:rsidR="00C46055" w:rsidRDefault="00C46055" w:rsidP="00C46055">
      <w:pPr>
        <w:rPr>
          <w:lang w:val="de-DE"/>
        </w:rPr>
      </w:pPr>
      <w:r>
        <w:rPr>
          <w:lang w:val="de-DE"/>
        </w:rPr>
        <w:t>Als nächstes werden wir uns in der Gruppe auf die kommende Präsentation unserer Ergebnisse in der „Öffentlichkeit“ vorbereiten. Dazu werden wir ein Plakat in InDesign erstellen und eine PowerPoint-Präsentation vorbereiten. Doch vorerst sind die Forschungen zu Ende und somit auch dieser Blogeintrag. Wir bedanken uns für das rege Interesse bei unserer Leserschaft und freuen uns auf die Präsentation unserer teilweise doch unerwarteten Ergebnisse.</w:t>
      </w:r>
    </w:p>
    <w:p w14:paraId="58CD1C42" w14:textId="77777777" w:rsidR="00C46055" w:rsidRDefault="00C46055" w:rsidP="00C46055">
      <w:pPr>
        <w:rPr>
          <w:lang w:val="de-DE"/>
        </w:rPr>
      </w:pPr>
    </w:p>
    <w:p w14:paraId="2C527851" w14:textId="4C60B77F" w:rsidR="00F03FCE" w:rsidRPr="009158AC" w:rsidRDefault="00C46055">
      <w:pPr>
        <w:rPr>
          <w:lang w:val="it-IT"/>
        </w:rPr>
      </w:pPr>
      <w:r>
        <w:rPr>
          <w:lang w:val="it-IT"/>
        </w:rPr>
        <w:t>Ana-Julia, Farin, Joel, Remo</w:t>
      </w:r>
      <w:r>
        <w:rPr>
          <w:lang w:val="it-IT"/>
        </w:rPr>
        <w:br/>
        <w:t>AC4</w:t>
      </w:r>
    </w:p>
    <w:sectPr w:rsidR="00F03FCE" w:rsidRPr="009158AC">
      <w:head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D485CC" w14:textId="77777777" w:rsidR="000336C1" w:rsidRDefault="000336C1" w:rsidP="00160E33">
      <w:pPr>
        <w:spacing w:after="0" w:line="240" w:lineRule="auto"/>
      </w:pPr>
      <w:r>
        <w:separator/>
      </w:r>
    </w:p>
  </w:endnote>
  <w:endnote w:type="continuationSeparator" w:id="0">
    <w:p w14:paraId="3F7466AC" w14:textId="77777777" w:rsidR="000336C1" w:rsidRDefault="000336C1" w:rsidP="00160E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C8336" w14:textId="77777777" w:rsidR="000336C1" w:rsidRDefault="000336C1" w:rsidP="00160E33">
      <w:pPr>
        <w:spacing w:after="0" w:line="240" w:lineRule="auto"/>
      </w:pPr>
      <w:r>
        <w:separator/>
      </w:r>
    </w:p>
  </w:footnote>
  <w:footnote w:type="continuationSeparator" w:id="0">
    <w:p w14:paraId="5919DD21" w14:textId="77777777" w:rsidR="000336C1" w:rsidRDefault="000336C1" w:rsidP="00160E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A809F" w14:textId="49CC78C0" w:rsidR="00160E33" w:rsidRPr="00160E33" w:rsidRDefault="00160E33">
    <w:pPr>
      <w:pStyle w:val="Kopfzeile"/>
      <w:rPr>
        <w:lang w:val="de-DE"/>
      </w:rPr>
    </w:pPr>
    <w:r>
      <w:rPr>
        <w:lang w:val="de-DE"/>
      </w:rPr>
      <w:t>G1E4</w:t>
    </w:r>
    <w:r>
      <w:rPr>
        <w:lang w:val="de-DE"/>
      </w:rPr>
      <w:tab/>
      <w:t>B/D 2023</w:t>
    </w:r>
    <w:r>
      <w:rPr>
        <w:lang w:val="de-DE"/>
      </w:rPr>
      <w:tab/>
      <w:t>Remo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8349E"/>
    <w:multiLevelType w:val="hybridMultilevel"/>
    <w:tmpl w:val="8FC898B8"/>
    <w:lvl w:ilvl="0" w:tplc="C24EAE98">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 w15:restartNumberingAfterBreak="0">
    <w:nsid w:val="27AF1779"/>
    <w:multiLevelType w:val="hybridMultilevel"/>
    <w:tmpl w:val="E938948E"/>
    <w:lvl w:ilvl="0" w:tplc="41A6CDFC">
      <w:start w:val="1"/>
      <w:numFmt w:val="decimal"/>
      <w:lvlText w:val="%1)"/>
      <w:lvlJc w:val="left"/>
      <w:pPr>
        <w:ind w:left="1068" w:hanging="360"/>
      </w:pPr>
    </w:lvl>
    <w:lvl w:ilvl="1" w:tplc="08070019">
      <w:start w:val="1"/>
      <w:numFmt w:val="lowerLetter"/>
      <w:lvlText w:val="%2."/>
      <w:lvlJc w:val="left"/>
      <w:pPr>
        <w:ind w:left="1788" w:hanging="360"/>
      </w:pPr>
    </w:lvl>
    <w:lvl w:ilvl="2" w:tplc="0807001B">
      <w:start w:val="1"/>
      <w:numFmt w:val="lowerRoman"/>
      <w:lvlText w:val="%3."/>
      <w:lvlJc w:val="right"/>
      <w:pPr>
        <w:ind w:left="2508" w:hanging="180"/>
      </w:pPr>
    </w:lvl>
    <w:lvl w:ilvl="3" w:tplc="0807000F">
      <w:start w:val="1"/>
      <w:numFmt w:val="decimal"/>
      <w:lvlText w:val="%4."/>
      <w:lvlJc w:val="left"/>
      <w:pPr>
        <w:ind w:left="3228" w:hanging="360"/>
      </w:pPr>
    </w:lvl>
    <w:lvl w:ilvl="4" w:tplc="08070019">
      <w:start w:val="1"/>
      <w:numFmt w:val="lowerLetter"/>
      <w:lvlText w:val="%5."/>
      <w:lvlJc w:val="left"/>
      <w:pPr>
        <w:ind w:left="3948" w:hanging="360"/>
      </w:pPr>
    </w:lvl>
    <w:lvl w:ilvl="5" w:tplc="0807001B">
      <w:start w:val="1"/>
      <w:numFmt w:val="lowerRoman"/>
      <w:lvlText w:val="%6."/>
      <w:lvlJc w:val="right"/>
      <w:pPr>
        <w:ind w:left="4668" w:hanging="180"/>
      </w:pPr>
    </w:lvl>
    <w:lvl w:ilvl="6" w:tplc="0807000F">
      <w:start w:val="1"/>
      <w:numFmt w:val="decimal"/>
      <w:lvlText w:val="%7."/>
      <w:lvlJc w:val="left"/>
      <w:pPr>
        <w:ind w:left="5388" w:hanging="360"/>
      </w:pPr>
    </w:lvl>
    <w:lvl w:ilvl="7" w:tplc="08070019">
      <w:start w:val="1"/>
      <w:numFmt w:val="lowerLetter"/>
      <w:lvlText w:val="%8."/>
      <w:lvlJc w:val="left"/>
      <w:pPr>
        <w:ind w:left="6108" w:hanging="360"/>
      </w:pPr>
    </w:lvl>
    <w:lvl w:ilvl="8" w:tplc="0807001B">
      <w:start w:val="1"/>
      <w:numFmt w:val="lowerRoman"/>
      <w:lvlText w:val="%9."/>
      <w:lvlJc w:val="right"/>
      <w:pPr>
        <w:ind w:left="6828" w:hanging="180"/>
      </w:pPr>
    </w:lvl>
  </w:abstractNum>
  <w:abstractNum w:abstractNumId="2" w15:restartNumberingAfterBreak="0">
    <w:nsid w:val="3E67344A"/>
    <w:multiLevelType w:val="hybridMultilevel"/>
    <w:tmpl w:val="2224441A"/>
    <w:lvl w:ilvl="0" w:tplc="684A3B9C">
      <w:start w:val="1"/>
      <w:numFmt w:val="decimal"/>
      <w:lvlText w:val="%1)"/>
      <w:lvlJc w:val="left"/>
      <w:pPr>
        <w:ind w:left="1068" w:hanging="360"/>
      </w:pPr>
    </w:lvl>
    <w:lvl w:ilvl="1" w:tplc="08070019">
      <w:start w:val="1"/>
      <w:numFmt w:val="lowerLetter"/>
      <w:lvlText w:val="%2."/>
      <w:lvlJc w:val="left"/>
      <w:pPr>
        <w:ind w:left="1788" w:hanging="360"/>
      </w:pPr>
    </w:lvl>
    <w:lvl w:ilvl="2" w:tplc="0807001B">
      <w:start w:val="1"/>
      <w:numFmt w:val="lowerRoman"/>
      <w:lvlText w:val="%3."/>
      <w:lvlJc w:val="right"/>
      <w:pPr>
        <w:ind w:left="2508" w:hanging="180"/>
      </w:pPr>
    </w:lvl>
    <w:lvl w:ilvl="3" w:tplc="0807000F">
      <w:start w:val="1"/>
      <w:numFmt w:val="decimal"/>
      <w:lvlText w:val="%4."/>
      <w:lvlJc w:val="left"/>
      <w:pPr>
        <w:ind w:left="3228" w:hanging="360"/>
      </w:pPr>
    </w:lvl>
    <w:lvl w:ilvl="4" w:tplc="08070019">
      <w:start w:val="1"/>
      <w:numFmt w:val="lowerLetter"/>
      <w:lvlText w:val="%5."/>
      <w:lvlJc w:val="left"/>
      <w:pPr>
        <w:ind w:left="3948" w:hanging="360"/>
      </w:pPr>
    </w:lvl>
    <w:lvl w:ilvl="5" w:tplc="0807001B">
      <w:start w:val="1"/>
      <w:numFmt w:val="lowerRoman"/>
      <w:lvlText w:val="%6."/>
      <w:lvlJc w:val="right"/>
      <w:pPr>
        <w:ind w:left="4668" w:hanging="180"/>
      </w:pPr>
    </w:lvl>
    <w:lvl w:ilvl="6" w:tplc="0807000F">
      <w:start w:val="1"/>
      <w:numFmt w:val="decimal"/>
      <w:lvlText w:val="%7."/>
      <w:lvlJc w:val="left"/>
      <w:pPr>
        <w:ind w:left="5388" w:hanging="360"/>
      </w:pPr>
    </w:lvl>
    <w:lvl w:ilvl="7" w:tplc="08070019">
      <w:start w:val="1"/>
      <w:numFmt w:val="lowerLetter"/>
      <w:lvlText w:val="%8."/>
      <w:lvlJc w:val="left"/>
      <w:pPr>
        <w:ind w:left="6108" w:hanging="360"/>
      </w:pPr>
    </w:lvl>
    <w:lvl w:ilvl="8" w:tplc="0807001B">
      <w:start w:val="1"/>
      <w:numFmt w:val="lowerRoman"/>
      <w:lvlText w:val="%9."/>
      <w:lvlJc w:val="right"/>
      <w:pPr>
        <w:ind w:left="6828" w:hanging="180"/>
      </w:pPr>
    </w:lvl>
  </w:abstractNum>
  <w:abstractNum w:abstractNumId="3" w15:restartNumberingAfterBreak="0">
    <w:nsid w:val="69E25F7B"/>
    <w:multiLevelType w:val="hybridMultilevel"/>
    <w:tmpl w:val="48DED3CE"/>
    <w:lvl w:ilvl="0" w:tplc="D2661830">
      <w:start w:val="46"/>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16cid:durableId="64547537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94742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95016028">
    <w:abstractNumId w:val="3"/>
  </w:num>
  <w:num w:numId="4" w16cid:durableId="11992000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055"/>
    <w:rsid w:val="000004B5"/>
    <w:rsid w:val="000134AE"/>
    <w:rsid w:val="000336C1"/>
    <w:rsid w:val="000346A1"/>
    <w:rsid w:val="00042C78"/>
    <w:rsid w:val="000669E7"/>
    <w:rsid w:val="00072B91"/>
    <w:rsid w:val="001017C5"/>
    <w:rsid w:val="00160E33"/>
    <w:rsid w:val="001742B4"/>
    <w:rsid w:val="001B5F0D"/>
    <w:rsid w:val="001B6E20"/>
    <w:rsid w:val="001D246A"/>
    <w:rsid w:val="002404B7"/>
    <w:rsid w:val="0029780E"/>
    <w:rsid w:val="002B399B"/>
    <w:rsid w:val="002E10BE"/>
    <w:rsid w:val="00327DBD"/>
    <w:rsid w:val="00350E6F"/>
    <w:rsid w:val="003B5639"/>
    <w:rsid w:val="004435C1"/>
    <w:rsid w:val="00467FC2"/>
    <w:rsid w:val="004F2DE9"/>
    <w:rsid w:val="00546743"/>
    <w:rsid w:val="005B7A2D"/>
    <w:rsid w:val="006E62D8"/>
    <w:rsid w:val="0075671B"/>
    <w:rsid w:val="00762ECC"/>
    <w:rsid w:val="008A073F"/>
    <w:rsid w:val="009158AC"/>
    <w:rsid w:val="009F27DC"/>
    <w:rsid w:val="00A36257"/>
    <w:rsid w:val="00A36D82"/>
    <w:rsid w:val="00A43ACF"/>
    <w:rsid w:val="00AA3F5B"/>
    <w:rsid w:val="00AB44D2"/>
    <w:rsid w:val="00AD1755"/>
    <w:rsid w:val="00B278CD"/>
    <w:rsid w:val="00C37E22"/>
    <w:rsid w:val="00C43CD7"/>
    <w:rsid w:val="00C46055"/>
    <w:rsid w:val="00C47A6C"/>
    <w:rsid w:val="00CE167C"/>
    <w:rsid w:val="00E44ADB"/>
    <w:rsid w:val="00E63600"/>
    <w:rsid w:val="00EA6432"/>
    <w:rsid w:val="00EE6C9A"/>
    <w:rsid w:val="00F03FCE"/>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3F9E4"/>
  <w15:chartTrackingRefBased/>
  <w15:docId w15:val="{46180607-5226-478C-BBBC-E7C3B3939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46055"/>
    <w:pPr>
      <w:spacing w:line="256"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C46055"/>
    <w:rPr>
      <w:color w:val="0563C1" w:themeColor="hyperlink"/>
      <w:u w:val="single"/>
    </w:rPr>
  </w:style>
  <w:style w:type="paragraph" w:styleId="Kommentartext">
    <w:name w:val="annotation text"/>
    <w:basedOn w:val="Standard"/>
    <w:link w:val="KommentartextZchn"/>
    <w:uiPriority w:val="99"/>
    <w:semiHidden/>
    <w:unhideWhenUsed/>
    <w:rsid w:val="00C4605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C46055"/>
    <w:rPr>
      <w:sz w:val="20"/>
      <w:szCs w:val="20"/>
    </w:rPr>
  </w:style>
  <w:style w:type="paragraph" w:styleId="Beschriftung">
    <w:name w:val="caption"/>
    <w:basedOn w:val="Standard"/>
    <w:next w:val="Standard"/>
    <w:uiPriority w:val="35"/>
    <w:unhideWhenUsed/>
    <w:qFormat/>
    <w:rsid w:val="00C46055"/>
    <w:pPr>
      <w:spacing w:after="200" w:line="240" w:lineRule="auto"/>
    </w:pPr>
    <w:rPr>
      <w:i/>
      <w:iCs/>
      <w:color w:val="44546A" w:themeColor="text2"/>
      <w:sz w:val="18"/>
      <w:szCs w:val="18"/>
    </w:rPr>
  </w:style>
  <w:style w:type="paragraph" w:styleId="Listenabsatz">
    <w:name w:val="List Paragraph"/>
    <w:basedOn w:val="Standard"/>
    <w:uiPriority w:val="34"/>
    <w:qFormat/>
    <w:rsid w:val="00C46055"/>
    <w:pPr>
      <w:ind w:left="720"/>
      <w:contextualSpacing/>
    </w:pPr>
  </w:style>
  <w:style w:type="character" w:styleId="Kommentarzeichen">
    <w:name w:val="annotation reference"/>
    <w:basedOn w:val="Absatz-Standardschriftart"/>
    <w:uiPriority w:val="99"/>
    <w:semiHidden/>
    <w:unhideWhenUsed/>
    <w:rsid w:val="00C46055"/>
    <w:rPr>
      <w:sz w:val="16"/>
      <w:szCs w:val="16"/>
    </w:rPr>
  </w:style>
  <w:style w:type="table" w:styleId="Tabellenraster">
    <w:name w:val="Table Grid"/>
    <w:basedOn w:val="NormaleTabelle"/>
    <w:uiPriority w:val="39"/>
    <w:rsid w:val="00C46055"/>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160E3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60E33"/>
  </w:style>
  <w:style w:type="paragraph" w:styleId="Fuzeile">
    <w:name w:val="footer"/>
    <w:basedOn w:val="Standard"/>
    <w:link w:val="FuzeileZchn"/>
    <w:uiPriority w:val="99"/>
    <w:unhideWhenUsed/>
    <w:rsid w:val="00160E3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60E33"/>
  </w:style>
  <w:style w:type="paragraph" w:styleId="berarbeitung">
    <w:name w:val="Revision"/>
    <w:hidden/>
    <w:uiPriority w:val="99"/>
    <w:semiHidden/>
    <w:rsid w:val="00CE167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6418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ac4blogs.com/blog-1/"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c4blogs.com/blog-1/"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ef5e91c-06e5-4726-8452-dc38bd2c06ba" xsi:nil="true"/>
    <lcf76f155ced4ddcb4097134ff3c332f xmlns="0a5de70c-66f1-4c65-ac1e-791545059163">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989E76F8B02F634C9E7E1C59189849F3" ma:contentTypeVersion="13" ma:contentTypeDescription="Ein neues Dokument erstellen." ma:contentTypeScope="" ma:versionID="ef2312f2dea952dc5aad5bde3ab31abc">
  <xsd:schema xmlns:xsd="http://www.w3.org/2001/XMLSchema" xmlns:xs="http://www.w3.org/2001/XMLSchema" xmlns:p="http://schemas.microsoft.com/office/2006/metadata/properties" xmlns:ns2="0a5de70c-66f1-4c65-ac1e-791545059163" xmlns:ns3="2ef5e91c-06e5-4726-8452-dc38bd2c06ba" targetNamespace="http://schemas.microsoft.com/office/2006/metadata/properties" ma:root="true" ma:fieldsID="0bab83e16c31cc211df5c9f38a2a8f5f" ns2:_="" ns3:_="">
    <xsd:import namespace="0a5de70c-66f1-4c65-ac1e-791545059163"/>
    <xsd:import namespace="2ef5e91c-06e5-4726-8452-dc38bd2c06b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5de70c-66f1-4c65-ac1e-7915450591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Bildmarkierungen" ma:readOnly="false" ma:fieldId="{5cf76f15-5ced-4ddc-b409-7134ff3c332f}" ma:taxonomyMulti="true" ma:sspId="97053fe7-8ce6-4baa-8d0e-01b853f5c2d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f5e91c-06e5-4726-8452-dc38bd2c06ba"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element name="TaxCatchAll" ma:index="16" nillable="true" ma:displayName="Taxonomy Catch All Column" ma:hidden="true" ma:list="{4e272c77-2ea5-4c06-a7b3-a078be72d1e7}" ma:internalName="TaxCatchAll" ma:showField="CatchAllData" ma:web="2ef5e91c-06e5-4726-8452-dc38bd2c06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D4027C-C511-4F01-AA09-C0D4565F034A}">
  <ds:schemaRefs>
    <ds:schemaRef ds:uri="http://schemas.microsoft.com/sharepoint/v3/contenttype/forms"/>
  </ds:schemaRefs>
</ds:datastoreItem>
</file>

<file path=customXml/itemProps2.xml><?xml version="1.0" encoding="utf-8"?>
<ds:datastoreItem xmlns:ds="http://schemas.openxmlformats.org/officeDocument/2006/customXml" ds:itemID="{571E0DB1-1017-46DF-B109-39B6798D255C}">
  <ds:schemaRefs>
    <ds:schemaRef ds:uri="http://schemas.microsoft.com/office/2006/metadata/properties"/>
    <ds:schemaRef ds:uri="http://schemas.microsoft.com/office/infopath/2007/PartnerControls"/>
    <ds:schemaRef ds:uri="2ef5e91c-06e5-4726-8452-dc38bd2c06ba"/>
    <ds:schemaRef ds:uri="0a5de70c-66f1-4c65-ac1e-791545059163"/>
  </ds:schemaRefs>
</ds:datastoreItem>
</file>

<file path=customXml/itemProps3.xml><?xml version="1.0" encoding="utf-8"?>
<ds:datastoreItem xmlns:ds="http://schemas.openxmlformats.org/officeDocument/2006/customXml" ds:itemID="{CDD0D1E2-ED9E-43E2-A053-6720EA2D1976}">
  <ds:schemaRefs>
    <ds:schemaRef ds:uri="http://schemas.openxmlformats.org/officeDocument/2006/bibliography"/>
  </ds:schemaRefs>
</ds:datastoreItem>
</file>

<file path=customXml/itemProps4.xml><?xml version="1.0" encoding="utf-8"?>
<ds:datastoreItem xmlns:ds="http://schemas.openxmlformats.org/officeDocument/2006/customXml" ds:itemID="{CC7F488B-85C3-47E0-955F-EDF69F8461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5de70c-66f1-4c65-ac1e-791545059163"/>
    <ds:schemaRef ds:uri="2ef5e91c-06e5-4726-8452-dc38bd2c06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1055</Words>
  <Characters>6019</Characters>
  <Application>Microsoft Office Word</Application>
  <DocSecurity>0</DocSecurity>
  <Lines>50</Lines>
  <Paragraphs>14</Paragraphs>
  <ScaleCrop>false</ScaleCrop>
  <Company/>
  <LinksUpToDate>false</LinksUpToDate>
  <CharactersWithSpaces>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Weber Remo</dc:creator>
  <cp:keywords/>
  <dc:description/>
  <cp:lastModifiedBy>Strässle Urs</cp:lastModifiedBy>
  <cp:revision>2</cp:revision>
  <dcterms:created xsi:type="dcterms:W3CDTF">2023-07-12T07:11:00Z</dcterms:created>
  <dcterms:modified xsi:type="dcterms:W3CDTF">2023-07-12T07:11:00Z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0x010100989E76F8B02F634C9E7E1C59189849F3</vt:lpwstr>
  </property>
</Properties>
</file>